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624E5FE6" w:rsidR="002F276C" w:rsidRDefault="00AB29FF" w:rsidP="00EC68B0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3B5D8C6F" wp14:editId="6F3A2A23">
            <wp:simplePos x="0" y="0"/>
            <wp:positionH relativeFrom="margin">
              <wp:posOffset>-3157855</wp:posOffset>
            </wp:positionH>
            <wp:positionV relativeFrom="margin">
              <wp:posOffset>-450850</wp:posOffset>
            </wp:positionV>
            <wp:extent cx="10691495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2A537380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27AEA0B9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AB29FF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Exiting and transitioning from partnerships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AB29FF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Lucy Morris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27AEA0B9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AB29FF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Exiting and transitioning from partnerships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AB29FF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Lucy Morris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F2C5D76" w14:textId="77777777" w:rsidR="00EC3F37" w:rsidRDefault="00AB29FF" w:rsidP="00EC3F37">
      <w:pPr>
        <w:jc w:val="center"/>
        <w:rPr>
          <w:b/>
          <w:color w:val="000000" w:themeColor="text1"/>
          <w:sz w:val="44"/>
          <w:szCs w:val="44"/>
        </w:rPr>
      </w:pPr>
      <w:r w:rsidRPr="0091492E">
        <w:rPr>
          <w:b/>
          <w:color w:val="000000" w:themeColor="text1"/>
          <w:sz w:val="44"/>
          <w:szCs w:val="44"/>
        </w:rPr>
        <w:t>Exit/transition</w:t>
      </w:r>
      <w:r w:rsidR="00DC2F5A" w:rsidRPr="0091492E">
        <w:rPr>
          <w:b/>
          <w:color w:val="000000" w:themeColor="text1"/>
          <w:sz w:val="44"/>
          <w:szCs w:val="44"/>
        </w:rPr>
        <w:t xml:space="preserve"> tool </w:t>
      </w:r>
      <w:r w:rsidR="00310CD4" w:rsidRPr="0091492E">
        <w:rPr>
          <w:b/>
          <w:color w:val="000000" w:themeColor="text1"/>
          <w:sz w:val="44"/>
          <w:szCs w:val="44"/>
        </w:rPr>
        <w:t>–</w:t>
      </w:r>
      <w:r w:rsidR="00FE5DF3" w:rsidRPr="0091492E">
        <w:rPr>
          <w:b/>
          <w:color w:val="000000" w:themeColor="text1"/>
          <w:sz w:val="44"/>
          <w:szCs w:val="44"/>
        </w:rPr>
        <w:t xml:space="preserve"> </w:t>
      </w:r>
      <w:r w:rsidR="00EC3F37" w:rsidRPr="00EC3F37">
        <w:rPr>
          <w:b/>
          <w:color w:val="000000" w:themeColor="text1"/>
          <w:sz w:val="44"/>
          <w:szCs w:val="44"/>
        </w:rPr>
        <w:t xml:space="preserve">Sample Call Agenda: </w:t>
      </w:r>
    </w:p>
    <w:p w14:paraId="368DD623" w14:textId="20177691" w:rsidR="00EC3F37" w:rsidRDefault="00EC3F37" w:rsidP="00EC3F37">
      <w:pPr>
        <w:jc w:val="center"/>
        <w:rPr>
          <w:b/>
          <w:sz w:val="22"/>
          <w:szCs w:val="22"/>
        </w:rPr>
      </w:pPr>
      <w:r w:rsidRPr="00EC3F37">
        <w:rPr>
          <w:b/>
          <w:color w:val="000000" w:themeColor="text1"/>
          <w:sz w:val="44"/>
          <w:szCs w:val="44"/>
        </w:rPr>
        <w:t>Final Partnership Call</w:t>
      </w:r>
    </w:p>
    <w:p w14:paraId="7A5CDBB9" w14:textId="77777777" w:rsidR="00EC3F37" w:rsidRDefault="00EC3F37" w:rsidP="00EC3F37">
      <w:pPr>
        <w:rPr>
          <w:b/>
          <w:sz w:val="22"/>
          <w:szCs w:val="22"/>
        </w:rPr>
      </w:pPr>
    </w:p>
    <w:p w14:paraId="57664556" w14:textId="77777777" w:rsidR="00EC3F37" w:rsidRDefault="00EC3F37" w:rsidP="00EC3F3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Please note this is only guidance to identify the main discussion headings, and will need to be adapted to each partner and level of details required.</w:t>
      </w:r>
    </w:p>
    <w:p w14:paraId="097EDB46" w14:textId="77777777" w:rsidR="00EC3F37" w:rsidRDefault="00EC3F37" w:rsidP="00EC3F37">
      <w:pPr>
        <w:jc w:val="center"/>
        <w:rPr>
          <w:b/>
          <w:sz w:val="22"/>
          <w:szCs w:val="22"/>
        </w:rPr>
      </w:pPr>
    </w:p>
    <w:p w14:paraId="639DA91E" w14:textId="77777777" w:rsid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Partnership exit process – final call</w:t>
      </w:r>
    </w:p>
    <w:p w14:paraId="326DCDB3" w14:textId="77777777" w:rsidR="00EC3F37" w:rsidRDefault="00EC3F37" w:rsidP="00EC3F37">
      <w:pPr>
        <w:numPr>
          <w:ilvl w:val="0"/>
          <w:numId w:val="2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Aim of the final call/visit (</w:t>
      </w:r>
      <w:r>
        <w:rPr>
          <w:i/>
          <w:color w:val="000000"/>
          <w:sz w:val="22"/>
          <w:szCs w:val="22"/>
        </w:rPr>
        <w:t>recap, learning, feedback and final steps</w:t>
      </w:r>
      <w:r>
        <w:rPr>
          <w:color w:val="000000"/>
          <w:sz w:val="22"/>
          <w:szCs w:val="22"/>
        </w:rPr>
        <w:t>)</w:t>
      </w:r>
    </w:p>
    <w:p w14:paraId="397911C9" w14:textId="77777777" w:rsidR="00EC3F37" w:rsidRDefault="00EC3F37" w:rsidP="00EC3F37">
      <w:pPr>
        <w:rPr>
          <w:color w:val="000000"/>
          <w:sz w:val="22"/>
          <w:szCs w:val="22"/>
        </w:rPr>
      </w:pPr>
    </w:p>
    <w:p w14:paraId="74AC29FA" w14:textId="77777777" w:rsid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Update on any significant changes at partner/your org since project ended</w:t>
      </w:r>
    </w:p>
    <w:p w14:paraId="0BD3537C" w14:textId="77777777" w:rsidR="00EC3F37" w:rsidRDefault="00EC3F37" w:rsidP="00EC3F37">
      <w:pPr>
        <w:rPr>
          <w:color w:val="000000"/>
          <w:sz w:val="22"/>
          <w:szCs w:val="22"/>
        </w:rPr>
      </w:pPr>
    </w:p>
    <w:p w14:paraId="453672AB" w14:textId="77777777" w:rsid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Celebrating the partnership </w:t>
      </w:r>
    </w:p>
    <w:p w14:paraId="54D9F3EB" w14:textId="77777777" w:rsidR="00EC3F37" w:rsidRDefault="00EC3F37" w:rsidP="00EC3F37">
      <w:pPr>
        <w:numPr>
          <w:ilvl w:val="0"/>
          <w:numId w:val="2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 of successes</w:t>
      </w:r>
    </w:p>
    <w:p w14:paraId="486F6A7E" w14:textId="77777777" w:rsidR="00EC3F37" w:rsidRDefault="00EC3F37" w:rsidP="00EC3F37">
      <w:pPr>
        <w:ind w:left="720"/>
        <w:rPr>
          <w:color w:val="000000"/>
          <w:sz w:val="22"/>
          <w:szCs w:val="22"/>
        </w:rPr>
      </w:pPr>
    </w:p>
    <w:p w14:paraId="755541BB" w14:textId="77777777" w:rsid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Most significant learning</w:t>
      </w:r>
    </w:p>
    <w:p w14:paraId="62C79A98" w14:textId="77777777" w:rsidR="00EC3F37" w:rsidRDefault="00EC3F37" w:rsidP="00EC3F37">
      <w:pPr>
        <w:numPr>
          <w:ilvl w:val="0"/>
          <w:numId w:val="2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is the most significant learning from the work together? (</w:t>
      </w:r>
      <w:r>
        <w:rPr>
          <w:i/>
          <w:color w:val="000000"/>
          <w:sz w:val="22"/>
          <w:szCs w:val="22"/>
        </w:rPr>
        <w:t>both partner and your org to share</w:t>
      </w:r>
      <w:r>
        <w:rPr>
          <w:color w:val="000000"/>
          <w:sz w:val="22"/>
          <w:szCs w:val="22"/>
        </w:rPr>
        <w:t xml:space="preserve">) / programmatic learning from the project? </w:t>
      </w:r>
      <w:r>
        <w:rPr>
          <w:i/>
          <w:color w:val="000000"/>
          <w:sz w:val="22"/>
          <w:szCs w:val="22"/>
        </w:rPr>
        <w:t>(questions can be tailored to each partner)</w:t>
      </w:r>
    </w:p>
    <w:p w14:paraId="1E829635" w14:textId="77777777" w:rsidR="00EC3F37" w:rsidRDefault="00EC3F37" w:rsidP="00EC3F37">
      <w:pPr>
        <w:numPr>
          <w:ilvl w:val="0"/>
          <w:numId w:val="2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has the partnership with your org enabled your partners to do that they would now have done otherwise?</w:t>
      </w:r>
    </w:p>
    <w:p w14:paraId="12C932B1" w14:textId="77777777" w:rsidR="00EC3F37" w:rsidRDefault="00EC3F37" w:rsidP="00EC3F37">
      <w:pPr>
        <w:numPr>
          <w:ilvl w:val="0"/>
          <w:numId w:val="2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Any other feedback on the partnership and/or what could have been done differently?</w:t>
      </w:r>
    </w:p>
    <w:p w14:paraId="4BAA760F" w14:textId="77777777" w:rsidR="00EC3F37" w:rsidRDefault="00EC3F37" w:rsidP="00EC3F37">
      <w:pPr>
        <w:rPr>
          <w:color w:val="000000"/>
          <w:sz w:val="22"/>
          <w:szCs w:val="22"/>
        </w:rPr>
      </w:pPr>
    </w:p>
    <w:p w14:paraId="657FFB68" w14:textId="77777777" w:rsidR="00EC3F37" w:rsidRDefault="00EC3F37" w:rsidP="00EC3F37">
      <w:pPr>
        <w:numPr>
          <w:ilvl w:val="0"/>
          <w:numId w:val="24"/>
        </w:numPr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Responsible exit feedback (</w:t>
      </w:r>
      <w:r>
        <w:rPr>
          <w:b/>
          <w:i/>
          <w:color w:val="000000"/>
          <w:sz w:val="22"/>
          <w:szCs w:val="22"/>
        </w:rPr>
        <w:t>key point to be discussed during the call</w:t>
      </w:r>
      <w:r>
        <w:rPr>
          <w:b/>
          <w:color w:val="000000"/>
          <w:sz w:val="22"/>
          <w:szCs w:val="22"/>
        </w:rPr>
        <w:t>)</w:t>
      </w:r>
    </w:p>
    <w:p w14:paraId="79DCBC70" w14:textId="77777777" w:rsidR="00EC3F37" w:rsidRDefault="00EC3F37" w:rsidP="00EC3F37">
      <w:pPr>
        <w:ind w:left="36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(recap Responsible exit principles if used)</w:t>
      </w:r>
    </w:p>
    <w:p w14:paraId="243617F7" w14:textId="77777777" w:rsidR="00EC3F37" w:rsidRDefault="00EC3F37" w:rsidP="00EC3F37">
      <w:pPr>
        <w:numPr>
          <w:ilvl w:val="1"/>
          <w:numId w:val="24"/>
        </w:numPr>
        <w:ind w:left="709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How did the responsible exit go from your perspective?</w:t>
      </w:r>
    </w:p>
    <w:p w14:paraId="4A421B33" w14:textId="77777777" w:rsidR="00EC3F37" w:rsidRDefault="00EC3F37" w:rsidP="00EC3F37">
      <w:pPr>
        <w:numPr>
          <w:ilvl w:val="1"/>
          <w:numId w:val="24"/>
        </w:numPr>
        <w:ind w:left="709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do you think went well and what are you happy with?</w:t>
      </w:r>
    </w:p>
    <w:p w14:paraId="651A3D68" w14:textId="77777777" w:rsidR="00EC3F37" w:rsidRDefault="00EC3F37" w:rsidP="00EC3F37">
      <w:pPr>
        <w:numPr>
          <w:ilvl w:val="1"/>
          <w:numId w:val="24"/>
        </w:numPr>
        <w:ind w:left="709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could have been done differently?</w:t>
      </w:r>
    </w:p>
    <w:p w14:paraId="3AB29C5E" w14:textId="77777777" w:rsidR="00EC3F37" w:rsidRDefault="00EC3F37" w:rsidP="00EC3F37">
      <w:pPr>
        <w:numPr>
          <w:ilvl w:val="1"/>
          <w:numId w:val="24"/>
        </w:numPr>
        <w:ind w:left="709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Are there are any risks going forward and how will you be addressing them?</w:t>
      </w:r>
    </w:p>
    <w:p w14:paraId="712596F7" w14:textId="77777777" w:rsidR="00EC3F37" w:rsidRDefault="00EC3F37" w:rsidP="00EC3F37">
      <w:pPr>
        <w:numPr>
          <w:ilvl w:val="1"/>
          <w:numId w:val="24"/>
        </w:numPr>
        <w:ind w:left="709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are your recommendations for another similar process?</w:t>
      </w:r>
    </w:p>
    <w:p w14:paraId="4A1D733F" w14:textId="77777777" w:rsidR="00EC3F37" w:rsidRDefault="00EC3F37" w:rsidP="00EC3F37">
      <w:pPr>
        <w:numPr>
          <w:ilvl w:val="1"/>
          <w:numId w:val="24"/>
        </w:numPr>
        <w:ind w:left="709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Any other feedback on the exit process?</w:t>
      </w:r>
    </w:p>
    <w:p w14:paraId="66DB18EB" w14:textId="77777777" w:rsidR="00EC3F37" w:rsidRDefault="00EC3F37" w:rsidP="00EC3F37">
      <w:pPr>
        <w:ind w:left="709"/>
        <w:rPr>
          <w:color w:val="000000"/>
          <w:sz w:val="22"/>
          <w:szCs w:val="22"/>
        </w:rPr>
      </w:pPr>
    </w:p>
    <w:p w14:paraId="7E57D1D3" w14:textId="77777777" w:rsidR="00EC3F37" w:rsidRDefault="00EC3F37" w:rsidP="00EC3F37">
      <w:pPr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u w:val="single"/>
        </w:rPr>
        <w:t>NB:</w:t>
      </w:r>
      <w:r>
        <w:rPr>
          <w:i/>
          <w:color w:val="000000"/>
          <w:sz w:val="22"/>
          <w:szCs w:val="22"/>
        </w:rPr>
        <w:t xml:space="preserve"> You might want to capture some </w:t>
      </w:r>
      <w:r>
        <w:rPr>
          <w:b/>
          <w:i/>
          <w:color w:val="000000"/>
          <w:sz w:val="22"/>
          <w:szCs w:val="22"/>
        </w:rPr>
        <w:t>quotes</w:t>
      </w:r>
      <w:r>
        <w:rPr>
          <w:i/>
          <w:color w:val="000000"/>
          <w:sz w:val="22"/>
          <w:szCs w:val="22"/>
        </w:rPr>
        <w:t xml:space="preserve"> that we could use for your internal reporting to the Board to show how the process went, successes and partners’ perspective on this.</w:t>
      </w:r>
    </w:p>
    <w:p w14:paraId="0A197F6C" w14:textId="77777777" w:rsidR="00EC3F37" w:rsidRDefault="00EC3F37" w:rsidP="00EC3F37">
      <w:pPr>
        <w:rPr>
          <w:color w:val="000000"/>
          <w:sz w:val="22"/>
          <w:szCs w:val="22"/>
        </w:rPr>
      </w:pPr>
    </w:p>
    <w:p w14:paraId="0F39F7C7" w14:textId="77777777" w:rsid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Next steps</w:t>
      </w:r>
    </w:p>
    <w:p w14:paraId="3DE340D8" w14:textId="77777777" w:rsidR="00EC3F37" w:rsidRDefault="00EC3F37" w:rsidP="00EC3F37">
      <w:pPr>
        <w:numPr>
          <w:ilvl w:val="1"/>
          <w:numId w:val="24"/>
        </w:numP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Documents to be kept for 6/7 years and access to be given to your org if required – </w:t>
      </w:r>
      <w:r>
        <w:rPr>
          <w:i/>
          <w:color w:val="000000"/>
          <w:sz w:val="22"/>
          <w:szCs w:val="22"/>
        </w:rPr>
        <w:t>remind them this is the agreement</w:t>
      </w:r>
    </w:p>
    <w:p w14:paraId="523B771C" w14:textId="77777777" w:rsidR="00EC3F37" w:rsidRDefault="00EC3F37" w:rsidP="00EC3F37">
      <w:pPr>
        <w:numPr>
          <w:ilvl w:val="1"/>
          <w:numId w:val="24"/>
        </w:numP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Use of case studies</w:t>
      </w:r>
    </w:p>
    <w:p w14:paraId="4E554271" w14:textId="77777777" w:rsidR="00EC3F37" w:rsidRDefault="00EC3F37" w:rsidP="00EC3F37">
      <w:pPr>
        <w:numPr>
          <w:ilvl w:val="1"/>
          <w:numId w:val="24"/>
        </w:numP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References available from your org</w:t>
      </w:r>
    </w:p>
    <w:p w14:paraId="37E2B7A7" w14:textId="77777777" w:rsidR="00EC3F37" w:rsidRDefault="00EC3F37" w:rsidP="00EC3F37">
      <w:pPr>
        <w:numPr>
          <w:ilvl w:val="1"/>
          <w:numId w:val="24"/>
        </w:numP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Check they are subscribed to any org updates you regularly send out</w:t>
      </w:r>
    </w:p>
    <w:p w14:paraId="0FAC49E7" w14:textId="77777777" w:rsidR="00EC3F37" w:rsidRDefault="00EC3F37" w:rsidP="00EC3F37">
      <w:pPr>
        <w:numPr>
          <w:ilvl w:val="1"/>
          <w:numId w:val="24"/>
        </w:numP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Any outstanding actions for the exit?</w:t>
      </w:r>
    </w:p>
    <w:p w14:paraId="5F9BDA4A" w14:textId="77777777" w:rsidR="00EC3F37" w:rsidRDefault="00EC3F37" w:rsidP="00EC3F37">
      <w:pPr>
        <w:numPr>
          <w:ilvl w:val="1"/>
          <w:numId w:val="24"/>
        </w:numPr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Will receive an official letter from your org to confirm end of partnership</w:t>
      </w:r>
    </w:p>
    <w:p w14:paraId="79122BA3" w14:textId="77777777" w:rsidR="00EC3F37" w:rsidRDefault="00EC3F37" w:rsidP="00EC3F37">
      <w:pPr>
        <w:rPr>
          <w:color w:val="000000"/>
          <w:sz w:val="22"/>
          <w:szCs w:val="22"/>
        </w:rPr>
      </w:pPr>
    </w:p>
    <w:p w14:paraId="4920F57D" w14:textId="77777777" w:rsid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Anything else you would like to share?</w:t>
      </w:r>
    </w:p>
    <w:p w14:paraId="10769E32" w14:textId="77777777" w:rsidR="00EC3F37" w:rsidRDefault="00EC3F37" w:rsidP="00EC3F37">
      <w:pPr>
        <w:ind w:left="360"/>
        <w:rPr>
          <w:b/>
          <w:color w:val="000000"/>
          <w:sz w:val="22"/>
          <w:szCs w:val="22"/>
        </w:rPr>
      </w:pPr>
    </w:p>
    <w:p w14:paraId="5C168FB6" w14:textId="467C795C" w:rsidR="00FE5DF3" w:rsidRPr="00EC3F37" w:rsidRDefault="00EC3F37" w:rsidP="00EC3F37">
      <w:pPr>
        <w:numPr>
          <w:ilvl w:val="0"/>
          <w:numId w:val="24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Thank you!</w:t>
      </w:r>
    </w:p>
    <w:sectPr w:rsidR="00FE5DF3" w:rsidRPr="00EC3F37" w:rsidSect="002F276C">
      <w:headerReference w:type="default" r:id="rId15"/>
      <w:footerReference w:type="default" r:id="rId16"/>
      <w:footerReference w:type="first" r:id="rId17"/>
      <w:pgSz w:w="11906" w:h="16838"/>
      <w:pgMar w:top="974" w:right="1874" w:bottom="1440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383A" w14:textId="77777777" w:rsidR="00F53BBF" w:rsidRDefault="00F53BBF">
      <w:r>
        <w:separator/>
      </w:r>
    </w:p>
  </w:endnote>
  <w:endnote w:type="continuationSeparator" w:id="0">
    <w:p w14:paraId="4BC852C0" w14:textId="77777777" w:rsidR="00F53BBF" w:rsidRDefault="00F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110E4072" w14:textId="5FE6013F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3E6" w14:textId="77777777" w:rsidR="00F53BBF" w:rsidRDefault="00F53BBF">
      <w:r>
        <w:separator/>
      </w:r>
    </w:p>
  </w:footnote>
  <w:footnote w:type="continuationSeparator" w:id="0">
    <w:p w14:paraId="744BA134" w14:textId="77777777" w:rsidR="00F53BBF" w:rsidRDefault="00F5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7C3011"/>
    <w:multiLevelType w:val="hybridMultilevel"/>
    <w:tmpl w:val="8AC8C15E"/>
    <w:lvl w:ilvl="0" w:tplc="CBFE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60D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02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6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6A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49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6A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6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AA2BDA"/>
    <w:multiLevelType w:val="multilevel"/>
    <w:tmpl w:val="F99C6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13376"/>
    <w:multiLevelType w:val="hybridMultilevel"/>
    <w:tmpl w:val="DB14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F35038"/>
    <w:multiLevelType w:val="multilevel"/>
    <w:tmpl w:val="9AE26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7"/>
  </w:num>
  <w:num w:numId="2" w16cid:durableId="543257661">
    <w:abstractNumId w:val="6"/>
  </w:num>
  <w:num w:numId="3" w16cid:durableId="238711121">
    <w:abstractNumId w:val="14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5"/>
  </w:num>
  <w:num w:numId="8" w16cid:durableId="1559627794">
    <w:abstractNumId w:val="2"/>
  </w:num>
  <w:num w:numId="9" w16cid:durableId="1577401665">
    <w:abstractNumId w:val="13"/>
  </w:num>
  <w:num w:numId="10" w16cid:durableId="1491870416">
    <w:abstractNumId w:val="11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23"/>
  </w:num>
  <w:num w:numId="17" w16cid:durableId="1173303608">
    <w:abstractNumId w:val="19"/>
  </w:num>
  <w:num w:numId="18" w16cid:durableId="118843559">
    <w:abstractNumId w:val="22"/>
  </w:num>
  <w:num w:numId="19" w16cid:durableId="663775405">
    <w:abstractNumId w:val="16"/>
  </w:num>
  <w:num w:numId="20" w16cid:durableId="15153389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94479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768517">
    <w:abstractNumId w:val="20"/>
  </w:num>
  <w:num w:numId="23" w16cid:durableId="18593881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5386278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42D75"/>
    <w:rsid w:val="00262A6F"/>
    <w:rsid w:val="002E00D2"/>
    <w:rsid w:val="002F276C"/>
    <w:rsid w:val="00306411"/>
    <w:rsid w:val="00310CD4"/>
    <w:rsid w:val="00464DF5"/>
    <w:rsid w:val="004D68B2"/>
    <w:rsid w:val="00505FAC"/>
    <w:rsid w:val="005A70A4"/>
    <w:rsid w:val="0069333A"/>
    <w:rsid w:val="006A2EDF"/>
    <w:rsid w:val="006B77EB"/>
    <w:rsid w:val="006E7D93"/>
    <w:rsid w:val="00716B60"/>
    <w:rsid w:val="007A2DBC"/>
    <w:rsid w:val="007C7FF6"/>
    <w:rsid w:val="00853CEC"/>
    <w:rsid w:val="008D6E3D"/>
    <w:rsid w:val="0091492E"/>
    <w:rsid w:val="00A1491B"/>
    <w:rsid w:val="00A80392"/>
    <w:rsid w:val="00A96F3B"/>
    <w:rsid w:val="00A97FFA"/>
    <w:rsid w:val="00AB29FF"/>
    <w:rsid w:val="00B4778A"/>
    <w:rsid w:val="00BE4FE5"/>
    <w:rsid w:val="00C60FC0"/>
    <w:rsid w:val="00C67694"/>
    <w:rsid w:val="00C80CC3"/>
    <w:rsid w:val="00C80F9F"/>
    <w:rsid w:val="00CB776A"/>
    <w:rsid w:val="00CF0BB6"/>
    <w:rsid w:val="00D064C9"/>
    <w:rsid w:val="00D35E20"/>
    <w:rsid w:val="00D7774C"/>
    <w:rsid w:val="00DB0EC9"/>
    <w:rsid w:val="00DC2F5A"/>
    <w:rsid w:val="00DF0AD8"/>
    <w:rsid w:val="00DF3989"/>
    <w:rsid w:val="00E13E54"/>
    <w:rsid w:val="00E31B7B"/>
    <w:rsid w:val="00E56805"/>
    <w:rsid w:val="00E974B9"/>
    <w:rsid w:val="00EB0AA1"/>
    <w:rsid w:val="00EC3F37"/>
    <w:rsid w:val="00EC68B0"/>
    <w:rsid w:val="00F53BBF"/>
    <w:rsid w:val="00F74E8D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exit-toolk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ntrac.org/ba-toolki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exit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Annalisa Addis</cp:lastModifiedBy>
  <cp:revision>3</cp:revision>
  <dcterms:created xsi:type="dcterms:W3CDTF">2022-06-22T13:10:00Z</dcterms:created>
  <dcterms:modified xsi:type="dcterms:W3CDTF">2022-06-22T13:11:00Z</dcterms:modified>
</cp:coreProperties>
</file>