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46B893E6" w:rsidR="002F276C" w:rsidRDefault="002F276C" w:rsidP="002F276C">
      <w:r>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778BACDD"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8"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7E1035">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9"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0"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778BACDD"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1"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7E1035">
                        <w:rPr>
                          <w:rStyle w:val="jsgrdq"/>
                          <w:color w:val="E7E6E6" w:themeColor="background2"/>
                          <w:sz w:val="18"/>
                          <w:szCs w:val="18"/>
                        </w:rPr>
                        <w:t>Catherine Squire</w:t>
                      </w:r>
                      <w:r w:rsidRPr="00F74E8D">
                        <w:rPr>
                          <w:rStyle w:val="jsgrdq"/>
                          <w:color w:val="E7E6E6" w:themeColor="background2"/>
                          <w:sz w:val="18"/>
                          <w:szCs w:val="18"/>
                        </w:rPr>
                        <w:t xml:space="preserve"> – part of a collection of </w:t>
                      </w:r>
                      <w:hyperlink r:id="rId12"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3"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v:textbox>
                <w10:wrap type="square" anchorx="page" anchory="margin"/>
              </v:shape>
            </w:pict>
          </mc:Fallback>
        </mc:AlternateContent>
      </w:r>
      <w:r>
        <w:rPr>
          <w:noProof/>
        </w:rPr>
        <w:drawing>
          <wp:anchor distT="0" distB="0" distL="114300" distR="114300" simplePos="0" relativeHeight="251668480" behindDoc="1" locked="0" layoutInCell="1" allowOverlap="1" wp14:anchorId="4DF54EE0" wp14:editId="25951958">
            <wp:simplePos x="0" y="0"/>
            <wp:positionH relativeFrom="column">
              <wp:posOffset>-3149330</wp:posOffset>
            </wp:positionH>
            <wp:positionV relativeFrom="paragraph">
              <wp:posOffset>-450442</wp:posOffset>
            </wp:positionV>
            <wp:extent cx="10681686" cy="10800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0681686" cy="1080000"/>
                    </a:xfrm>
                    <a:prstGeom prst="rect">
                      <a:avLst/>
                    </a:prstGeom>
                  </pic:spPr>
                </pic:pic>
              </a:graphicData>
            </a:graphic>
            <wp14:sizeRelH relativeFrom="margin">
              <wp14:pctWidth>0</wp14:pctWidth>
            </wp14:sizeRelH>
            <wp14:sizeRelV relativeFrom="margin">
              <wp14:pctHeight>0</wp14:pctHeight>
            </wp14:sizeRelV>
          </wp:anchor>
        </w:drawing>
      </w:r>
    </w:p>
    <w:p w14:paraId="4954DAB5" w14:textId="1124C781" w:rsidR="002F276C" w:rsidRDefault="002F276C" w:rsidP="002F276C"/>
    <w:p w14:paraId="43E5D246" w14:textId="77777777" w:rsidR="002F276C" w:rsidRDefault="002F276C" w:rsidP="002F276C"/>
    <w:p w14:paraId="1267EC35" w14:textId="0DCEC1CE" w:rsidR="002F276C" w:rsidRDefault="002F276C" w:rsidP="002F276C"/>
    <w:p w14:paraId="6BF1ECE9" w14:textId="77777777" w:rsidR="002F276C" w:rsidRDefault="002F276C" w:rsidP="002F276C"/>
    <w:p w14:paraId="3EF00A87" w14:textId="77777777" w:rsidR="00DC2F5A" w:rsidRDefault="00DC2F5A" w:rsidP="00DC2F5A"/>
    <w:p w14:paraId="19D0A01B" w14:textId="77777777" w:rsidR="00DC2F5A" w:rsidRDefault="00DC2F5A" w:rsidP="00DC2F5A">
      <w:pPr>
        <w:tabs>
          <w:tab w:val="left" w:pos="5592"/>
        </w:tabs>
      </w:pPr>
      <w:r>
        <w:tab/>
      </w:r>
    </w:p>
    <w:p w14:paraId="739AF516" w14:textId="67AE54BA" w:rsidR="00DC2F5A" w:rsidRPr="00DC2F5A" w:rsidRDefault="00DC2F5A" w:rsidP="00DC2F5A">
      <w:pPr>
        <w:pStyle w:val="Heading1"/>
        <w:numPr>
          <w:ilvl w:val="0"/>
          <w:numId w:val="0"/>
        </w:numPr>
        <w:ind w:hanging="6"/>
        <w:rPr>
          <w:rFonts w:eastAsia="Calibri" w:cs="Calibri"/>
          <w:b/>
          <w:color w:val="000000" w:themeColor="text1"/>
          <w:sz w:val="48"/>
        </w:rPr>
      </w:pPr>
      <w:r>
        <w:rPr>
          <w:rFonts w:eastAsia="Calibri" w:cs="Calibri"/>
          <w:b/>
          <w:color w:val="000000" w:themeColor="text1"/>
          <w:sz w:val="48"/>
        </w:rPr>
        <w:t xml:space="preserve">PCS tool </w:t>
      </w:r>
      <w:r w:rsidR="000D7D34">
        <w:rPr>
          <w:rFonts w:eastAsia="Calibri" w:cs="Calibri"/>
          <w:b/>
          <w:color w:val="000000" w:themeColor="text1"/>
          <w:sz w:val="48"/>
        </w:rPr>
        <w:t>–</w:t>
      </w:r>
      <w:r>
        <w:rPr>
          <w:rFonts w:eastAsia="Calibri" w:cs="Calibri"/>
          <w:b/>
          <w:color w:val="000000" w:themeColor="text1"/>
          <w:sz w:val="48"/>
        </w:rPr>
        <w:t xml:space="preserve"> </w:t>
      </w:r>
      <w:r w:rsidR="000D7D34">
        <w:rPr>
          <w:rFonts w:eastAsia="Calibri" w:cs="Calibri"/>
          <w:b/>
          <w:color w:val="000000" w:themeColor="text1"/>
          <w:sz w:val="48"/>
        </w:rPr>
        <w:t xml:space="preserve">SAMPLE </w:t>
      </w:r>
      <w:r w:rsidRPr="00DC2F5A">
        <w:rPr>
          <w:rFonts w:eastAsia="Calibri" w:cs="Calibri"/>
          <w:b/>
          <w:color w:val="000000" w:themeColor="text1"/>
          <w:sz w:val="48"/>
        </w:rPr>
        <w:t xml:space="preserve">Organisational assessment process </w:t>
      </w:r>
    </w:p>
    <w:p w14:paraId="1AB93F8F" w14:textId="77777777" w:rsidR="00DC2F5A" w:rsidRDefault="00DC2F5A" w:rsidP="00DC2F5A">
      <w:r>
        <w:t xml:space="preserve">This sample organisational assessment process is released with the Partner Capacity Strengthening Toolkit for Small Organisations with Big Ambitions. Please refer to the toolkit for further guidance on this activity. You can edit this file to adapt it to your and your partner(s) needs. In fact you </w:t>
      </w:r>
      <w:r>
        <w:rPr>
          <w:b/>
        </w:rPr>
        <w:t xml:space="preserve">should </w:t>
      </w:r>
      <w:r>
        <w:t xml:space="preserve">adapt to your needs! This is not a blueprint and each step is a choice you and your partners make. </w:t>
      </w:r>
    </w:p>
    <w:p w14:paraId="4FC82073" w14:textId="77777777" w:rsidR="00DC2F5A" w:rsidRDefault="00DC2F5A" w:rsidP="00DC2F5A"/>
    <w:p w14:paraId="4B91AAE7" w14:textId="77777777" w:rsidR="00DC2F5A" w:rsidRDefault="00DC2F5A" w:rsidP="00DC2F5A">
      <w:pPr>
        <w:numPr>
          <w:ilvl w:val="0"/>
          <w:numId w:val="18"/>
        </w:numPr>
      </w:pPr>
      <w:r>
        <w:rPr>
          <w:i/>
        </w:rPr>
        <w:t>Discuss the purpose of the organisational assessment for the partner organisation / community-based organisation</w:t>
      </w:r>
    </w:p>
    <w:p w14:paraId="2E563291" w14:textId="77777777" w:rsidR="00DC2F5A" w:rsidRDefault="00DC2F5A" w:rsidP="00DC2F5A">
      <w:pPr>
        <w:ind w:left="720"/>
        <w:rPr>
          <w:i/>
        </w:rPr>
      </w:pPr>
    </w:p>
    <w:p w14:paraId="3BDEA590" w14:textId="77777777" w:rsidR="00DC2F5A" w:rsidRDefault="00DC2F5A" w:rsidP="00DC2F5A">
      <w:pPr>
        <w:numPr>
          <w:ilvl w:val="0"/>
          <w:numId w:val="18"/>
        </w:numPr>
      </w:pPr>
      <w:r>
        <w:rPr>
          <w:i/>
        </w:rPr>
        <w:t>Review the chosen tool with a core team in the partner organisation to build understanding and ownership</w:t>
      </w:r>
    </w:p>
    <w:p w14:paraId="67826AB0" w14:textId="77777777" w:rsidR="00DC2F5A" w:rsidRDefault="00DC2F5A" w:rsidP="00DC2F5A">
      <w:pPr>
        <w:ind w:left="720"/>
        <w:rPr>
          <w:i/>
        </w:rPr>
      </w:pPr>
    </w:p>
    <w:p w14:paraId="1143D8ED" w14:textId="77777777" w:rsidR="00DC2F5A" w:rsidRDefault="00DC2F5A" w:rsidP="00DC2F5A">
      <w:pPr>
        <w:numPr>
          <w:ilvl w:val="0"/>
          <w:numId w:val="18"/>
        </w:numPr>
      </w:pPr>
      <w:r>
        <w:rPr>
          <w:i/>
        </w:rPr>
        <w:t>Adapt to your context, area of work (e.g. working with street children needs strong safeguarding procedures) and type of organisation (e.g. a membership organisation will need good procedures for involving members)  if necessary</w:t>
      </w:r>
    </w:p>
    <w:p w14:paraId="72E5C0A7" w14:textId="77777777" w:rsidR="00DC2F5A" w:rsidRDefault="00DC2F5A" w:rsidP="00DC2F5A">
      <w:pPr>
        <w:ind w:left="720"/>
        <w:rPr>
          <w:i/>
        </w:rPr>
      </w:pPr>
    </w:p>
    <w:p w14:paraId="731CCE96" w14:textId="77777777" w:rsidR="00DC2F5A" w:rsidRDefault="00DC2F5A" w:rsidP="00DC2F5A">
      <w:pPr>
        <w:numPr>
          <w:ilvl w:val="0"/>
          <w:numId w:val="18"/>
        </w:numPr>
      </w:pPr>
      <w:r>
        <w:rPr>
          <w:i/>
        </w:rPr>
        <w:t>Core team / Lead person in their organisation decides on process and sets up workshop plan</w:t>
      </w:r>
    </w:p>
    <w:p w14:paraId="332E3D84" w14:textId="77777777" w:rsidR="00DC2F5A" w:rsidRDefault="00DC2F5A" w:rsidP="00DC2F5A">
      <w:pPr>
        <w:ind w:left="720"/>
        <w:rPr>
          <w:i/>
        </w:rPr>
      </w:pPr>
    </w:p>
    <w:p w14:paraId="0FFAAF86" w14:textId="77777777" w:rsidR="00DC2F5A" w:rsidRDefault="00DC2F5A" w:rsidP="00DC2F5A">
      <w:pPr>
        <w:numPr>
          <w:ilvl w:val="0"/>
          <w:numId w:val="18"/>
        </w:numPr>
      </w:pPr>
      <w:r>
        <w:rPr>
          <w:i/>
        </w:rPr>
        <w:t xml:space="preserve">Give out the tool to a range (or all) staff and key volunteers in different roles to score individually. Trustees can also be involved. </w:t>
      </w:r>
    </w:p>
    <w:p w14:paraId="1F2C4E7F" w14:textId="77777777" w:rsidR="00DC2F5A" w:rsidRDefault="00DC2F5A" w:rsidP="00DC2F5A">
      <w:pPr>
        <w:ind w:left="720"/>
        <w:rPr>
          <w:i/>
        </w:rPr>
      </w:pPr>
    </w:p>
    <w:p w14:paraId="01CC1510" w14:textId="77777777" w:rsidR="00DC2F5A" w:rsidRDefault="00DC2F5A" w:rsidP="00DC2F5A">
      <w:pPr>
        <w:numPr>
          <w:ilvl w:val="0"/>
          <w:numId w:val="18"/>
        </w:numPr>
      </w:pPr>
      <w:r>
        <w:rPr>
          <w:i/>
        </w:rPr>
        <w:t>Come together for a day to discuss and agree scores as a group (the discussion is as important as the scores!), or discuss in smaller teams first</w:t>
      </w:r>
    </w:p>
    <w:p w14:paraId="0D50BFC3" w14:textId="77777777" w:rsidR="00DC2F5A" w:rsidRDefault="00DC2F5A" w:rsidP="00DC2F5A">
      <w:pPr>
        <w:ind w:left="720"/>
        <w:rPr>
          <w:i/>
        </w:rPr>
      </w:pPr>
    </w:p>
    <w:p w14:paraId="6DD9511D" w14:textId="77777777" w:rsidR="00DC2F5A" w:rsidRDefault="00DC2F5A" w:rsidP="00DC2F5A">
      <w:pPr>
        <w:numPr>
          <w:ilvl w:val="0"/>
          <w:numId w:val="18"/>
        </w:numPr>
      </w:pPr>
      <w:r>
        <w:rPr>
          <w:i/>
        </w:rPr>
        <w:t>Prioritise areas for development</w:t>
      </w:r>
    </w:p>
    <w:p w14:paraId="4509BBFD" w14:textId="77777777" w:rsidR="00DC2F5A" w:rsidRDefault="00DC2F5A" w:rsidP="00DC2F5A">
      <w:pPr>
        <w:ind w:left="720"/>
        <w:rPr>
          <w:i/>
        </w:rPr>
      </w:pPr>
    </w:p>
    <w:p w14:paraId="217DAA36" w14:textId="77777777" w:rsidR="00DC2F5A" w:rsidRDefault="00DC2F5A" w:rsidP="00DC2F5A">
      <w:pPr>
        <w:numPr>
          <w:ilvl w:val="0"/>
          <w:numId w:val="18"/>
        </w:numPr>
      </w:pPr>
      <w:r>
        <w:rPr>
          <w:i/>
        </w:rPr>
        <w:t xml:space="preserve">Draw up a strengthening plan starting with what the organisation can do themselves and with peers. </w:t>
      </w:r>
    </w:p>
    <w:p w14:paraId="6CF7902A" w14:textId="42749503" w:rsidR="00DC2F5A" w:rsidRDefault="00DC2F5A" w:rsidP="00DC2F5A">
      <w:r>
        <w:t xml:space="preserve"> </w:t>
      </w:r>
    </w:p>
    <w:sectPr w:rsidR="00DC2F5A" w:rsidSect="002F276C">
      <w:headerReference w:type="default" r:id="rId15"/>
      <w:footerReference w:type="default" r:id="rId16"/>
      <w:footerReference w:type="first" r:id="rId17"/>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5"/>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8"/>
  </w:num>
  <w:num w:numId="17" w16cid:durableId="1173303608">
    <w:abstractNumId w:val="16"/>
  </w:num>
  <w:num w:numId="18" w16cid:durableId="118843559">
    <w:abstractNumId w:val="17"/>
  </w:num>
  <w:num w:numId="19" w16cid:durableId="663775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D7D34"/>
    <w:rsid w:val="000F1ED6"/>
    <w:rsid w:val="001B4392"/>
    <w:rsid w:val="00230958"/>
    <w:rsid w:val="00262A6F"/>
    <w:rsid w:val="002E00D2"/>
    <w:rsid w:val="002F276C"/>
    <w:rsid w:val="00306411"/>
    <w:rsid w:val="004D68B2"/>
    <w:rsid w:val="005A70A4"/>
    <w:rsid w:val="0069333A"/>
    <w:rsid w:val="006B77EB"/>
    <w:rsid w:val="006E7D93"/>
    <w:rsid w:val="00716B60"/>
    <w:rsid w:val="007A2DBC"/>
    <w:rsid w:val="007C7FF6"/>
    <w:rsid w:val="007E1035"/>
    <w:rsid w:val="00853CEC"/>
    <w:rsid w:val="008D6E3D"/>
    <w:rsid w:val="00A1491B"/>
    <w:rsid w:val="00A80392"/>
    <w:rsid w:val="00A96F3B"/>
    <w:rsid w:val="00A97FFA"/>
    <w:rsid w:val="00B4778A"/>
    <w:rsid w:val="00BE4FE5"/>
    <w:rsid w:val="00C60FC0"/>
    <w:rsid w:val="00C67694"/>
    <w:rsid w:val="00C80CC3"/>
    <w:rsid w:val="00C80F9F"/>
    <w:rsid w:val="00CB776A"/>
    <w:rsid w:val="00CF0BB6"/>
    <w:rsid w:val="00D064C9"/>
    <w:rsid w:val="00D7774C"/>
    <w:rsid w:val="00DB0EC9"/>
    <w:rsid w:val="00DC2F5A"/>
    <w:rsid w:val="00DF0AD8"/>
    <w:rsid w:val="00DF3989"/>
    <w:rsid w:val="00E13E54"/>
    <w:rsid w:val="00E31B7B"/>
    <w:rsid w:val="00E56805"/>
    <w:rsid w:val="00E974B9"/>
    <w:rsid w:val="00EB0AA1"/>
    <w:rsid w:val="00F53BBF"/>
    <w:rsid w:val="00F74E8D"/>
    <w:rsid w:val="00FB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c.org/ba-pcs-toolkit" TargetMode="External"/><Relationship Id="rId13" Type="http://schemas.openxmlformats.org/officeDocument/2006/relationships/hyperlink" Target="https://www.intrac.org/projects/strengthening-small-organisations-with-big-ambi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toolki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rac.org/ba-pcs-toolk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trac.org/projects/strengthening-small-organisations-with-big-amb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rac.org/ba-toolkits" TargetMode="Externa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Annalisa Addis</dc:creator>
  <cp:lastModifiedBy>Annalisa Addis</cp:lastModifiedBy>
  <cp:revision>3</cp:revision>
  <dcterms:created xsi:type="dcterms:W3CDTF">2022-06-18T15:01:00Z</dcterms:created>
  <dcterms:modified xsi:type="dcterms:W3CDTF">2022-06-18T15:26:00Z</dcterms:modified>
</cp:coreProperties>
</file>