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F9120C" w14:textId="5DD0084C" w:rsidR="002F276C" w:rsidRDefault="009B3F7D" w:rsidP="002F276C">
      <w:r>
        <w:rPr>
          <w:noProof/>
        </w:rPr>
        <mc:AlternateContent>
          <mc:Choice Requires="wps">
            <w:drawing>
              <wp:anchor distT="45720" distB="45720" distL="114300" distR="114300" simplePos="0" relativeHeight="251670528" behindDoc="0" locked="0" layoutInCell="1" allowOverlap="1" wp14:anchorId="57D0A5C3" wp14:editId="6B7C0792">
                <wp:simplePos x="0" y="0"/>
                <wp:positionH relativeFrom="page">
                  <wp:posOffset>966337</wp:posOffset>
                </wp:positionH>
                <wp:positionV relativeFrom="margin">
                  <wp:posOffset>-338130</wp:posOffset>
                </wp:positionV>
                <wp:extent cx="4554000" cy="1404620"/>
                <wp:effectExtent l="0" t="0" r="0" b="19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4000" cy="1404620"/>
                        </a:xfrm>
                        <a:prstGeom prst="rect">
                          <a:avLst/>
                        </a:prstGeom>
                        <a:noFill/>
                        <a:ln w="9525">
                          <a:noFill/>
                          <a:miter lim="800000"/>
                          <a:headEnd/>
                          <a:tailEnd/>
                        </a:ln>
                      </wps:spPr>
                      <wps:txbx>
                        <w:txbxContent>
                          <w:p w14:paraId="2599823B" w14:textId="683AC09D" w:rsidR="002F276C" w:rsidRPr="002F276C" w:rsidRDefault="002F276C" w:rsidP="002F276C">
                            <w:pPr>
                              <w:jc w:val="both"/>
                              <w:rPr>
                                <w:sz w:val="18"/>
                                <w:szCs w:val="18"/>
                              </w:rPr>
                            </w:pPr>
                            <w:r w:rsidRPr="00F74E8D">
                              <w:rPr>
                                <w:rStyle w:val="jsgrdq"/>
                                <w:color w:val="E7E6E6" w:themeColor="background2"/>
                                <w:sz w:val="18"/>
                                <w:szCs w:val="18"/>
                              </w:rPr>
                              <w:t xml:space="preserve">This tool is published by INTRAC in conjunction with the </w:t>
                            </w:r>
                            <w:hyperlink r:id="rId8" w:history="1">
                              <w:r w:rsidRPr="00F74E8D">
                                <w:rPr>
                                  <w:rStyle w:val="LinkChar"/>
                                  <w:color w:val="E7E6E6" w:themeColor="background2"/>
                                  <w:sz w:val="18"/>
                                  <w:szCs w:val="18"/>
                                </w:rPr>
                                <w:t>Partner Capacity Strengthening toolkit for small charities</w:t>
                              </w:r>
                            </w:hyperlink>
                            <w:r w:rsidRPr="00F74E8D">
                              <w:rPr>
                                <w:rStyle w:val="jsgrdq"/>
                                <w:b/>
                                <w:bCs/>
                                <w:color w:val="E7E6E6" w:themeColor="background2"/>
                                <w:sz w:val="18"/>
                                <w:szCs w:val="18"/>
                              </w:rPr>
                              <w:t xml:space="preserve"> </w:t>
                            </w:r>
                            <w:r w:rsidRPr="00F74E8D">
                              <w:rPr>
                                <w:rStyle w:val="jsgrdq"/>
                                <w:color w:val="E7E6E6" w:themeColor="background2"/>
                                <w:sz w:val="18"/>
                                <w:szCs w:val="18"/>
                              </w:rPr>
                              <w:t xml:space="preserve">authored by Rick James – part of a collection of </w:t>
                            </w:r>
                            <w:hyperlink r:id="rId9" w:history="1">
                              <w:r w:rsidRPr="00F74E8D">
                                <w:rPr>
                                  <w:rStyle w:val="LinkChar"/>
                                  <w:color w:val="E7E6E6" w:themeColor="background2"/>
                                  <w:sz w:val="18"/>
                                  <w:szCs w:val="18"/>
                                </w:rPr>
                                <w:t>five toolkits</w:t>
                              </w:r>
                            </w:hyperlink>
                            <w:r w:rsidRPr="00F74E8D">
                              <w:rPr>
                                <w:rStyle w:val="jsgrdq"/>
                                <w:color w:val="E7E6E6" w:themeColor="background2"/>
                                <w:sz w:val="18"/>
                                <w:szCs w:val="18"/>
                              </w:rPr>
                              <w:t xml:space="preserve"> produced as part of the </w:t>
                            </w:r>
                            <w:hyperlink r:id="rId10" w:history="1">
                              <w:r w:rsidRPr="00F74E8D">
                                <w:rPr>
                                  <w:rStyle w:val="LinkChar"/>
                                  <w:i/>
                                  <w:iCs/>
                                  <w:color w:val="E7E6E6" w:themeColor="background2"/>
                                  <w:sz w:val="18"/>
                                  <w:szCs w:val="18"/>
                                </w:rPr>
                                <w:t>Strengthening Small Organisations with Big Ambitions</w:t>
                              </w:r>
                            </w:hyperlink>
                            <w:r w:rsidRPr="00F74E8D">
                              <w:rPr>
                                <w:rStyle w:val="jsgrdq"/>
                                <w:i/>
                                <w:iCs/>
                                <w:color w:val="E7E6E6" w:themeColor="background2"/>
                                <w:sz w:val="18"/>
                                <w:szCs w:val="18"/>
                              </w:rPr>
                              <w:t xml:space="preserve"> </w:t>
                            </w:r>
                            <w:r w:rsidRPr="00F74E8D">
                              <w:rPr>
                                <w:rStyle w:val="jsgrdq"/>
                                <w:color w:val="E7E6E6" w:themeColor="background2"/>
                                <w:sz w:val="18"/>
                                <w:szCs w:val="18"/>
                              </w:rPr>
                              <w:t>programme (2021-2022). This programme was funded by the UK Foreign, Commonwealth &amp; Development Office (FCDO) through a Small Charities Challenge Fund (SCCF) Capacity Development Grant</w:t>
                            </w:r>
                            <w:r w:rsidRPr="00F047B1">
                              <w:rPr>
                                <w:rStyle w:val="jsgrdq"/>
                                <w:color w:val="000000"/>
                                <w:sz w:val="18"/>
                                <w:szCs w:val="18"/>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7D0A5C3" id="_x0000_t202" coordsize="21600,21600" o:spt="202" path="m,l,21600r21600,l21600,xe">
                <v:stroke joinstyle="miter"/>
                <v:path gradientshapeok="t" o:connecttype="rect"/>
              </v:shapetype>
              <v:shape id="Text Box 2" o:spid="_x0000_s1026" type="#_x0000_t202" style="position:absolute;margin-left:76.1pt;margin-top:-26.6pt;width:358.6pt;height:110.6pt;z-index:251670528;visibility:visible;mso-wrap-style:square;mso-width-percent:0;mso-height-percent:200;mso-wrap-distance-left:9pt;mso-wrap-distance-top:3.6pt;mso-wrap-distance-right:9pt;mso-wrap-distance-bottom:3.6pt;mso-position-horizontal:absolute;mso-position-horizontal-relative:page;mso-position-vertical:absolute;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" filled="f" stroked="f">
                <v:textbox style="mso-fit-shape-to-text:t">
                  <w:txbxContent>
                    <w:p w14:paraId="2599823B" w14:textId="683AC09D" w:rsidR="002F276C" w:rsidRPr="002F276C" w:rsidRDefault="002F276C" w:rsidP="002F276C">
                      <w:pPr>
                        <w:jc w:val="both"/>
                        <w:rPr>
                          <w:sz w:val="18"/>
                          <w:szCs w:val="18"/>
                        </w:rPr>
                      </w:pPr>
                      <w:r w:rsidRPr="00F74E8D">
                        <w:rPr>
                          <w:rStyle w:val="jsgrdq"/>
                          <w:color w:val="E7E6E6" w:themeColor="background2"/>
                          <w:sz w:val="18"/>
                          <w:szCs w:val="18"/>
                        </w:rPr>
                        <w:t xml:space="preserve">This tool is published by INTRAC in conjunction with the </w:t>
                      </w:r>
                      <w:hyperlink r:id="rId11" w:history="1">
                        <w:r w:rsidRPr="00F74E8D">
                          <w:rPr>
                            <w:rStyle w:val="LinkChar"/>
                            <w:color w:val="E7E6E6" w:themeColor="background2"/>
                            <w:sz w:val="18"/>
                            <w:szCs w:val="18"/>
                          </w:rPr>
                          <w:t>Partner Capacity Strengthening toolkit for small charities</w:t>
                        </w:r>
                      </w:hyperlink>
                      <w:r w:rsidRPr="00F74E8D">
                        <w:rPr>
                          <w:rStyle w:val="jsgrdq"/>
                          <w:b/>
                          <w:bCs/>
                          <w:color w:val="E7E6E6" w:themeColor="background2"/>
                          <w:sz w:val="18"/>
                          <w:szCs w:val="18"/>
                        </w:rPr>
                        <w:t xml:space="preserve"> </w:t>
                      </w:r>
                      <w:r w:rsidRPr="00F74E8D">
                        <w:rPr>
                          <w:rStyle w:val="jsgrdq"/>
                          <w:color w:val="E7E6E6" w:themeColor="background2"/>
                          <w:sz w:val="18"/>
                          <w:szCs w:val="18"/>
                        </w:rPr>
                        <w:t xml:space="preserve">authored by Rick James – part of a collection of </w:t>
                      </w:r>
                      <w:hyperlink r:id="rId12" w:history="1">
                        <w:r w:rsidRPr="00F74E8D">
                          <w:rPr>
                            <w:rStyle w:val="LinkChar"/>
                            <w:color w:val="E7E6E6" w:themeColor="background2"/>
                            <w:sz w:val="18"/>
                            <w:szCs w:val="18"/>
                          </w:rPr>
                          <w:t>five toolkits</w:t>
                        </w:r>
                      </w:hyperlink>
                      <w:r w:rsidRPr="00F74E8D">
                        <w:rPr>
                          <w:rStyle w:val="jsgrdq"/>
                          <w:color w:val="E7E6E6" w:themeColor="background2"/>
                          <w:sz w:val="18"/>
                          <w:szCs w:val="18"/>
                        </w:rPr>
                        <w:t xml:space="preserve"> produced as part of the </w:t>
                      </w:r>
                      <w:hyperlink r:id="rId13" w:history="1">
                        <w:r w:rsidRPr="00F74E8D">
                          <w:rPr>
                            <w:rStyle w:val="LinkChar"/>
                            <w:i/>
                            <w:iCs/>
                            <w:color w:val="E7E6E6" w:themeColor="background2"/>
                            <w:sz w:val="18"/>
                            <w:szCs w:val="18"/>
                          </w:rPr>
                          <w:t>Strengthening Small Organisations with Big Ambitions</w:t>
                        </w:r>
                      </w:hyperlink>
                      <w:r w:rsidRPr="00F74E8D">
                        <w:rPr>
                          <w:rStyle w:val="jsgrdq"/>
                          <w:i/>
                          <w:iCs/>
                          <w:color w:val="E7E6E6" w:themeColor="background2"/>
                          <w:sz w:val="18"/>
                          <w:szCs w:val="18"/>
                        </w:rPr>
                        <w:t xml:space="preserve"> </w:t>
                      </w:r>
                      <w:r w:rsidRPr="00F74E8D">
                        <w:rPr>
                          <w:rStyle w:val="jsgrdq"/>
                          <w:color w:val="E7E6E6" w:themeColor="background2"/>
                          <w:sz w:val="18"/>
                          <w:szCs w:val="18"/>
                        </w:rPr>
                        <w:t>programme (2021-2022). This programme was funded by the UK Foreign, Commonwealth &amp; Development Office (FCDO) through a Small Charities Challenge Fund (SCCF) Capacity Development Grant</w:t>
                      </w:r>
                      <w:r w:rsidRPr="00F047B1">
                        <w:rPr>
                          <w:rStyle w:val="jsgrdq"/>
                          <w:color w:val="000000"/>
                          <w:sz w:val="18"/>
                          <w:szCs w:val="18"/>
                        </w:rPr>
                        <w:t>.</w:t>
                      </w:r>
                    </w:p>
                  </w:txbxContent>
                </v:textbox>
                <w10:wrap type="square" anchorx="page" anchory="margin"/>
              </v:shape>
            </w:pict>
          </mc:Fallback>
        </mc:AlternateContent>
      </w:r>
      <w:r>
        <w:rPr>
          <w:noProof/>
        </w:rPr>
        <w:drawing>
          <wp:anchor distT="0" distB="0" distL="114300" distR="114300" simplePos="0" relativeHeight="251668480" behindDoc="1" locked="0" layoutInCell="1" allowOverlap="1" wp14:anchorId="4DF54EE0" wp14:editId="75800C57">
            <wp:simplePos x="0" y="0"/>
            <wp:positionH relativeFrom="page">
              <wp:align>right</wp:align>
            </wp:positionH>
            <wp:positionV relativeFrom="paragraph">
              <wp:posOffset>-492745</wp:posOffset>
            </wp:positionV>
            <wp:extent cx="10681686" cy="1080000"/>
            <wp:effectExtent l="0" t="0" r="0" b="635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4">
                      <a:extLst>
                        <a:ext uri="{28A0092B-C50C-407E-A947-70E740481C1C}">
                          <a14:useLocalDpi xmlns:a14="http://schemas.microsoft.com/office/drawing/2010/main" val="0"/>
                        </a:ext>
                      </a:extLst>
                    </a:blip>
                    <a:stretch>
                      <a:fillRect/>
                    </a:stretch>
                  </pic:blipFill>
                  <pic:spPr>
                    <a:xfrm>
                      <a:off x="0" y="0"/>
                      <a:ext cx="10681686" cy="1080000"/>
                    </a:xfrm>
                    <a:prstGeom prst="rect">
                      <a:avLst/>
                    </a:prstGeom>
                  </pic:spPr>
                </pic:pic>
              </a:graphicData>
            </a:graphic>
            <wp14:sizeRelH relativeFrom="margin">
              <wp14:pctWidth>0</wp14:pctWidth>
            </wp14:sizeRelH>
            <wp14:sizeRelV relativeFrom="margin">
              <wp14:pctHeight>0</wp14:pctHeight>
            </wp14:sizeRelV>
          </wp:anchor>
        </w:drawing>
      </w:r>
    </w:p>
    <w:p w14:paraId="4954DAB5" w14:textId="1124C781" w:rsidR="002F276C" w:rsidRDefault="002F276C" w:rsidP="002F276C"/>
    <w:p w14:paraId="43E5D246" w14:textId="77777777" w:rsidR="002F276C" w:rsidRDefault="002F276C" w:rsidP="002F276C"/>
    <w:p w14:paraId="1267EC35" w14:textId="0DCEC1CE" w:rsidR="002F276C" w:rsidRDefault="002F276C" w:rsidP="002F276C"/>
    <w:p w14:paraId="739AF516" w14:textId="318BC35D" w:rsidR="00DC2F5A" w:rsidRPr="00DC2F5A" w:rsidRDefault="00DC2F5A" w:rsidP="00DC2F5A">
      <w:pPr>
        <w:pStyle w:val="Heading1"/>
        <w:numPr>
          <w:ilvl w:val="0"/>
          <w:numId w:val="0"/>
        </w:numPr>
        <w:ind w:hanging="6"/>
        <w:rPr>
          <w:rFonts w:eastAsia="Calibri" w:cs="Calibri"/>
          <w:b/>
          <w:color w:val="000000" w:themeColor="text1"/>
          <w:sz w:val="48"/>
        </w:rPr>
      </w:pPr>
      <w:r>
        <w:rPr>
          <w:rFonts w:eastAsia="Calibri" w:cs="Calibri"/>
          <w:b/>
          <w:color w:val="000000" w:themeColor="text1"/>
          <w:sz w:val="48"/>
        </w:rPr>
        <w:t xml:space="preserve">PCS tool - </w:t>
      </w:r>
      <w:r w:rsidR="008C535C" w:rsidRPr="008C535C">
        <w:rPr>
          <w:rFonts w:eastAsia="Calibri" w:cs="Calibri"/>
          <w:b/>
          <w:color w:val="000000" w:themeColor="text1"/>
          <w:sz w:val="48"/>
        </w:rPr>
        <w:t>MENU OF CAPACITY STRENGTHENING ACTIVITIES</w:t>
      </w:r>
    </w:p>
    <w:p w14:paraId="1D79D92B" w14:textId="77777777" w:rsidR="008C535C" w:rsidRDefault="008C535C" w:rsidP="008C535C">
      <w:r>
        <w:t xml:space="preserve">Below is a list of possible capacity strengthening activities, with a brief description of each. We recommend to use this to expand your menu of capacity strengthening activities, to avoid automatically equating capacity strengthening with training. </w:t>
      </w:r>
    </w:p>
    <w:p w14:paraId="3F729AAC" w14:textId="77777777" w:rsidR="00547B24" w:rsidRDefault="00547B24" w:rsidP="008C535C"/>
    <w:p w14:paraId="668D0137" w14:textId="63E41125" w:rsidR="008C535C" w:rsidRDefault="008C535C" w:rsidP="008C535C">
      <w:r>
        <w:t>When deciding on the most appropriate method(s) to use in a certain situation, it is helpful to reflect on pros and cons, what each of these methods can help you achieve (and under what circumstances), what as well as any resource implications (including financial cost, but also infrastructural or technical requirements).</w:t>
      </w:r>
    </w:p>
    <w:p w14:paraId="5F6A094E" w14:textId="01F3D300" w:rsidR="008C535C" w:rsidRDefault="008C535C" w:rsidP="008C535C"/>
    <w:tbl>
      <w:tblPr>
        <w:tblStyle w:val="PlainTable1"/>
        <w:tblW w:w="12175" w:type="dxa"/>
        <w:tblLayout w:type="fixed"/>
        <w:tblLook w:val="0400" w:firstRow="0" w:lastRow="0" w:firstColumn="0" w:lastColumn="0" w:noHBand="0" w:noVBand="1"/>
      </w:tblPr>
      <w:tblGrid>
        <w:gridCol w:w="2122"/>
        <w:gridCol w:w="10053"/>
      </w:tblGrid>
      <w:tr w:rsidR="009B3F7D" w14:paraId="358BDA25" w14:textId="1A238EB4" w:rsidTr="009B3F7D">
        <w:trPr>
          <w:cnfStyle w:val="000000100000" w:firstRow="0" w:lastRow="0" w:firstColumn="0" w:lastColumn="0" w:oddVBand="0" w:evenVBand="0" w:oddHBand="1" w:evenHBand="0" w:firstRowFirstColumn="0" w:firstRowLastColumn="0" w:lastRowFirstColumn="0" w:lastRowLastColumn="0"/>
          <w:trHeight w:val="133"/>
        </w:trPr>
        <w:tc>
          <w:tcPr>
            <w:tcW w:w="2122" w:type="dxa"/>
            <w:hideMark/>
          </w:tcPr>
          <w:p w14:paraId="7E0D0A50" w14:textId="77777777" w:rsidR="009B3F7D" w:rsidRDefault="009B3F7D">
            <w:pPr>
              <w:rPr>
                <w:b/>
              </w:rPr>
            </w:pPr>
            <w:r>
              <w:rPr>
                <w:b/>
              </w:rPr>
              <w:t>One-off intensive training course</w:t>
            </w:r>
          </w:p>
        </w:tc>
        <w:tc>
          <w:tcPr>
            <w:tcW w:w="10053" w:type="dxa"/>
            <w:hideMark/>
          </w:tcPr>
          <w:p w14:paraId="55519346" w14:textId="77777777" w:rsidR="009B3F7D" w:rsidRDefault="009B3F7D">
            <w:r>
              <w:t xml:space="preserve">A structured event designed around a number of learning objectives (often following a training needs assessment). Each session will have predefined objectives and content materials, with a detailed session plan to guide the trainer. Training methods vary - from traditional ‘classroom’ style to the highly participative action-learning approach. Participants may be from one organisation or team (in-house training) or from a variety of organisations (the ‘open training’ event). </w:t>
            </w:r>
          </w:p>
        </w:tc>
      </w:tr>
      <w:tr w:rsidR="009B3F7D" w14:paraId="68516660" w14:textId="180D6037" w:rsidTr="009B3F7D">
        <w:trPr>
          <w:trHeight w:val="133"/>
        </w:trPr>
        <w:tc>
          <w:tcPr>
            <w:tcW w:w="2122" w:type="dxa"/>
            <w:hideMark/>
          </w:tcPr>
          <w:p w14:paraId="513C7EA1" w14:textId="77777777" w:rsidR="009B3F7D" w:rsidRDefault="009B3F7D">
            <w:pPr>
              <w:rPr>
                <w:b/>
              </w:rPr>
            </w:pPr>
            <w:r>
              <w:rPr>
                <w:b/>
              </w:rPr>
              <w:t>Modular training course</w:t>
            </w:r>
          </w:p>
        </w:tc>
        <w:tc>
          <w:tcPr>
            <w:tcW w:w="10053" w:type="dxa"/>
            <w:hideMark/>
          </w:tcPr>
          <w:p w14:paraId="18D2C161" w14:textId="77777777" w:rsidR="009B3F7D" w:rsidRDefault="009B3F7D">
            <w:r>
              <w:t>Based on action-reflection cycle, this is a series of structured events held over a pre-defined period of time. Participants often are asked to complete an exercise on the topic of each module between each time they meet, or put the content of the module into practice in their workplace.</w:t>
            </w:r>
          </w:p>
        </w:tc>
      </w:tr>
      <w:tr w:rsidR="009B3F7D" w14:paraId="2110E672" w14:textId="7008855D" w:rsidTr="009B3F7D">
        <w:trPr>
          <w:cnfStyle w:val="000000100000" w:firstRow="0" w:lastRow="0" w:firstColumn="0" w:lastColumn="0" w:oddVBand="0" w:evenVBand="0" w:oddHBand="1" w:evenHBand="0" w:firstRowFirstColumn="0" w:firstRowLastColumn="0" w:lastRowFirstColumn="0" w:lastRowLastColumn="0"/>
          <w:trHeight w:val="133"/>
        </w:trPr>
        <w:tc>
          <w:tcPr>
            <w:tcW w:w="2122" w:type="dxa"/>
            <w:hideMark/>
          </w:tcPr>
          <w:p w14:paraId="15D15D4D" w14:textId="77777777" w:rsidR="009B3F7D" w:rsidRDefault="009B3F7D">
            <w:pPr>
              <w:rPr>
                <w:b/>
              </w:rPr>
            </w:pPr>
            <w:r>
              <w:rPr>
                <w:b/>
              </w:rPr>
              <w:t>Technical expertise/advice</w:t>
            </w:r>
          </w:p>
        </w:tc>
        <w:tc>
          <w:tcPr>
            <w:tcW w:w="10053" w:type="dxa"/>
            <w:hideMark/>
          </w:tcPr>
          <w:p w14:paraId="1BF50015" w14:textId="77777777" w:rsidR="009B3F7D" w:rsidRDefault="009B3F7D">
            <w:r>
              <w:t xml:space="preserve">The focus is on the technical or professional </w:t>
            </w:r>
            <w:r>
              <w:rPr>
                <w:i/>
              </w:rPr>
              <w:t>content</w:t>
            </w:r>
            <w:r>
              <w:t xml:space="preserve">, or the technical </w:t>
            </w:r>
            <w:r>
              <w:rPr>
                <w:i/>
              </w:rPr>
              <w:t>systems</w:t>
            </w:r>
            <w:r>
              <w:t xml:space="preserve"> required for the work to be effectively implemented and managed. Delivery may be as part of on-the-job accompaniment or it may be delivered during a special visit to the organisation.</w:t>
            </w:r>
          </w:p>
        </w:tc>
      </w:tr>
      <w:tr w:rsidR="009B3F7D" w14:paraId="256F5539" w14:textId="6C601DCC" w:rsidTr="009B3F7D">
        <w:trPr>
          <w:trHeight w:val="133"/>
        </w:trPr>
        <w:tc>
          <w:tcPr>
            <w:tcW w:w="2122" w:type="dxa"/>
            <w:hideMark/>
          </w:tcPr>
          <w:p w14:paraId="20655B76" w14:textId="77777777" w:rsidR="009B3F7D" w:rsidRDefault="009B3F7D">
            <w:pPr>
              <w:rPr>
                <w:b/>
              </w:rPr>
            </w:pPr>
            <w:r>
              <w:rPr>
                <w:b/>
              </w:rPr>
              <w:t>Mentoring</w:t>
            </w:r>
          </w:p>
        </w:tc>
        <w:tc>
          <w:tcPr>
            <w:tcW w:w="10053" w:type="dxa"/>
            <w:hideMark/>
          </w:tcPr>
          <w:p w14:paraId="6B72929C" w14:textId="77777777" w:rsidR="009B3F7D" w:rsidRDefault="009B3F7D">
            <w:r>
              <w:t xml:space="preserve">Mentoring involves passing on tips from experience, attitudes, knowledge, contacts etc.  from more experienced individuals to less experienced staff. The ‘mentor’ will be someone with an established reputation in the specific field.  It may take place within an on-going relationship. The participant would normally set the agenda and have control over the timing etc. </w:t>
            </w:r>
          </w:p>
        </w:tc>
      </w:tr>
      <w:tr w:rsidR="009B3F7D" w14:paraId="56DF9B28" w14:textId="1EC3DD0E" w:rsidTr="009B3F7D">
        <w:trPr>
          <w:cnfStyle w:val="000000100000" w:firstRow="0" w:lastRow="0" w:firstColumn="0" w:lastColumn="0" w:oddVBand="0" w:evenVBand="0" w:oddHBand="1" w:evenHBand="0" w:firstRowFirstColumn="0" w:firstRowLastColumn="0" w:lastRowFirstColumn="0" w:lastRowLastColumn="0"/>
          <w:trHeight w:val="133"/>
        </w:trPr>
        <w:tc>
          <w:tcPr>
            <w:tcW w:w="2122" w:type="dxa"/>
            <w:hideMark/>
          </w:tcPr>
          <w:p w14:paraId="3B252A93" w14:textId="77777777" w:rsidR="009B3F7D" w:rsidRDefault="009B3F7D">
            <w:pPr>
              <w:rPr>
                <w:b/>
              </w:rPr>
            </w:pPr>
            <w:r>
              <w:rPr>
                <w:b/>
              </w:rPr>
              <w:lastRenderedPageBreak/>
              <w:t>Coaching</w:t>
            </w:r>
          </w:p>
        </w:tc>
        <w:tc>
          <w:tcPr>
            <w:tcW w:w="10053" w:type="dxa"/>
            <w:hideMark/>
          </w:tcPr>
          <w:p w14:paraId="1BDF0C17" w14:textId="77777777" w:rsidR="009B3F7D" w:rsidRDefault="009B3F7D">
            <w:r>
              <w:t>Coaching is similar, but does not usually require that the coach has direct experience of their client’s formal occupational role unless the coaching is particularly skills focused. The expertise of the coach is more in the coaching method itself to support the person to come up with their own solutions.</w:t>
            </w:r>
          </w:p>
        </w:tc>
      </w:tr>
      <w:tr w:rsidR="009B3F7D" w14:paraId="7F4A114B" w14:textId="481D9714" w:rsidTr="009B3F7D">
        <w:trPr>
          <w:trHeight w:val="743"/>
        </w:trPr>
        <w:tc>
          <w:tcPr>
            <w:tcW w:w="2122" w:type="dxa"/>
            <w:hideMark/>
          </w:tcPr>
          <w:p w14:paraId="5B502E56" w14:textId="77777777" w:rsidR="009B3F7D" w:rsidRDefault="009B3F7D">
            <w:pPr>
              <w:rPr>
                <w:b/>
              </w:rPr>
            </w:pPr>
            <w:r>
              <w:rPr>
                <w:b/>
              </w:rPr>
              <w:t>Management or OD consultancy</w:t>
            </w:r>
          </w:p>
        </w:tc>
        <w:tc>
          <w:tcPr>
            <w:tcW w:w="10053" w:type="dxa"/>
            <w:hideMark/>
          </w:tcPr>
          <w:p w14:paraId="2E0E8D28" w14:textId="77777777" w:rsidR="009B3F7D" w:rsidRDefault="009B3F7D">
            <w:r>
              <w:t xml:space="preserve">Intervention of an external consultant working to a specific Terms of Reference related to the internal functioning of the organisation, or helping the organisation through a change process. </w:t>
            </w:r>
          </w:p>
        </w:tc>
      </w:tr>
      <w:tr w:rsidR="009B3F7D" w14:paraId="72355A1F" w14:textId="6974B05A" w:rsidTr="009B3F7D">
        <w:trPr>
          <w:cnfStyle w:val="000000100000" w:firstRow="0" w:lastRow="0" w:firstColumn="0" w:lastColumn="0" w:oddVBand="0" w:evenVBand="0" w:oddHBand="1" w:evenHBand="0" w:firstRowFirstColumn="0" w:firstRowLastColumn="0" w:lastRowFirstColumn="0" w:lastRowLastColumn="0"/>
          <w:trHeight w:val="852"/>
        </w:trPr>
        <w:tc>
          <w:tcPr>
            <w:tcW w:w="2122" w:type="dxa"/>
            <w:hideMark/>
          </w:tcPr>
          <w:p w14:paraId="57865B50" w14:textId="77777777" w:rsidR="009B3F7D" w:rsidRDefault="009B3F7D">
            <w:pPr>
              <w:rPr>
                <w:b/>
              </w:rPr>
            </w:pPr>
            <w:r>
              <w:rPr>
                <w:b/>
              </w:rPr>
              <w:t>Facilitated workshop or exercise</w:t>
            </w:r>
          </w:p>
        </w:tc>
        <w:tc>
          <w:tcPr>
            <w:tcW w:w="10053" w:type="dxa"/>
            <w:hideMark/>
          </w:tcPr>
          <w:p w14:paraId="5869E9A6" w14:textId="77777777" w:rsidR="009B3F7D" w:rsidRDefault="009B3F7D">
            <w:r>
              <w:t>An event which is designed around specific objectives. These objectives can focus on the development of ideas and knowledge, or on the production of a specific output.</w:t>
            </w:r>
          </w:p>
        </w:tc>
      </w:tr>
      <w:tr w:rsidR="009B3F7D" w14:paraId="0E15E19D" w14:textId="20FBD0D0" w:rsidTr="009B3F7D">
        <w:trPr>
          <w:trHeight w:val="694"/>
        </w:trPr>
        <w:tc>
          <w:tcPr>
            <w:tcW w:w="2122" w:type="dxa"/>
            <w:hideMark/>
          </w:tcPr>
          <w:p w14:paraId="03CF48C8" w14:textId="77777777" w:rsidR="009B3F7D" w:rsidRDefault="009B3F7D">
            <w:pPr>
              <w:rPr>
                <w:b/>
              </w:rPr>
            </w:pPr>
            <w:r>
              <w:rPr>
                <w:b/>
              </w:rPr>
              <w:t>Leadership development</w:t>
            </w:r>
          </w:p>
        </w:tc>
        <w:tc>
          <w:tcPr>
            <w:tcW w:w="10053" w:type="dxa"/>
            <w:hideMark/>
          </w:tcPr>
          <w:p w14:paraId="4227DB53" w14:textId="77777777" w:rsidR="009B3F7D" w:rsidRDefault="009B3F7D">
            <w:r>
              <w:t xml:space="preserve">Usually applied in a medium-term programme targeting existing or potential future leaders. This programme may draw on a mix of methods. </w:t>
            </w:r>
          </w:p>
        </w:tc>
      </w:tr>
      <w:tr w:rsidR="009B3F7D" w14:paraId="6AC2EFE0" w14:textId="7C7577C2" w:rsidTr="00644F63">
        <w:trPr>
          <w:cnfStyle w:val="000000100000" w:firstRow="0" w:lastRow="0" w:firstColumn="0" w:lastColumn="0" w:oddVBand="0" w:evenVBand="0" w:oddHBand="1" w:evenHBand="0" w:firstRowFirstColumn="0" w:firstRowLastColumn="0" w:lastRowFirstColumn="0" w:lastRowLastColumn="0"/>
          <w:trHeight w:val="447"/>
        </w:trPr>
        <w:tc>
          <w:tcPr>
            <w:tcW w:w="2122" w:type="dxa"/>
            <w:hideMark/>
          </w:tcPr>
          <w:p w14:paraId="787CEB12" w14:textId="77777777" w:rsidR="009B3F7D" w:rsidRDefault="009B3F7D">
            <w:pPr>
              <w:rPr>
                <w:b/>
              </w:rPr>
            </w:pPr>
            <w:r>
              <w:rPr>
                <w:b/>
              </w:rPr>
              <w:t>Shadowing</w:t>
            </w:r>
          </w:p>
        </w:tc>
        <w:tc>
          <w:tcPr>
            <w:tcW w:w="10053" w:type="dxa"/>
            <w:hideMark/>
          </w:tcPr>
          <w:p w14:paraId="6B5303BA" w14:textId="77777777" w:rsidR="009B3F7D" w:rsidRDefault="009B3F7D">
            <w:r>
              <w:t>Observing someone as they go about their day-to-day job, or undertake a specific task.</w:t>
            </w:r>
          </w:p>
        </w:tc>
      </w:tr>
      <w:tr w:rsidR="009B3F7D" w14:paraId="28D254B5" w14:textId="6FB87A68" w:rsidTr="009B3F7D">
        <w:trPr>
          <w:trHeight w:val="728"/>
        </w:trPr>
        <w:tc>
          <w:tcPr>
            <w:tcW w:w="2122" w:type="dxa"/>
            <w:hideMark/>
          </w:tcPr>
          <w:p w14:paraId="53796793" w14:textId="77777777" w:rsidR="009B3F7D" w:rsidRDefault="009B3F7D">
            <w:pPr>
              <w:rPr>
                <w:b/>
              </w:rPr>
            </w:pPr>
            <w:r>
              <w:rPr>
                <w:b/>
              </w:rPr>
              <w:t>Internships</w:t>
            </w:r>
          </w:p>
        </w:tc>
        <w:tc>
          <w:tcPr>
            <w:tcW w:w="10053" w:type="dxa"/>
            <w:hideMark/>
          </w:tcPr>
          <w:p w14:paraId="73874E43" w14:textId="77777777" w:rsidR="009B3F7D" w:rsidRDefault="009B3F7D">
            <w:r>
              <w:t xml:space="preserve">The placement of an individual within a team or organisation for a pre-determined period of time. Usually it is someone who is recently graduated or embarking upon a career. </w:t>
            </w:r>
          </w:p>
        </w:tc>
      </w:tr>
      <w:tr w:rsidR="009B3F7D" w14:paraId="7973A02A" w14:textId="217A2D6F" w:rsidTr="00644F63">
        <w:trPr>
          <w:cnfStyle w:val="000000100000" w:firstRow="0" w:lastRow="0" w:firstColumn="0" w:lastColumn="0" w:oddVBand="0" w:evenVBand="0" w:oddHBand="1" w:evenHBand="0" w:firstRowFirstColumn="0" w:firstRowLastColumn="0" w:lastRowFirstColumn="0" w:lastRowLastColumn="0"/>
          <w:trHeight w:val="722"/>
        </w:trPr>
        <w:tc>
          <w:tcPr>
            <w:tcW w:w="2122" w:type="dxa"/>
            <w:hideMark/>
          </w:tcPr>
          <w:p w14:paraId="28085AAE" w14:textId="77777777" w:rsidR="009B3F7D" w:rsidRDefault="009B3F7D">
            <w:pPr>
              <w:rPr>
                <w:b/>
              </w:rPr>
            </w:pPr>
            <w:r>
              <w:rPr>
                <w:b/>
              </w:rPr>
              <w:t>Exposure or exchange visit</w:t>
            </w:r>
          </w:p>
        </w:tc>
        <w:tc>
          <w:tcPr>
            <w:tcW w:w="10053" w:type="dxa"/>
            <w:hideMark/>
          </w:tcPr>
          <w:p w14:paraId="638B7E28" w14:textId="77777777" w:rsidR="009B3F7D" w:rsidRDefault="009B3F7D">
            <w:r>
              <w:t>A pre-arranged visit aiming to learn about a specific experience, or gain an exposure to the ways of working of another organisation, institution, team etc.</w:t>
            </w:r>
          </w:p>
        </w:tc>
      </w:tr>
      <w:tr w:rsidR="009B3F7D" w14:paraId="54A3D010" w14:textId="5FBFD2D3" w:rsidTr="009B3F7D">
        <w:trPr>
          <w:trHeight w:val="133"/>
        </w:trPr>
        <w:tc>
          <w:tcPr>
            <w:tcW w:w="2122" w:type="dxa"/>
            <w:hideMark/>
          </w:tcPr>
          <w:p w14:paraId="63D47114" w14:textId="77777777" w:rsidR="009B3F7D" w:rsidRDefault="009B3F7D">
            <w:pPr>
              <w:rPr>
                <w:b/>
              </w:rPr>
            </w:pPr>
            <w:r>
              <w:rPr>
                <w:b/>
              </w:rPr>
              <w:t>Community of Practice</w:t>
            </w:r>
          </w:p>
        </w:tc>
        <w:tc>
          <w:tcPr>
            <w:tcW w:w="10053" w:type="dxa"/>
            <w:hideMark/>
          </w:tcPr>
          <w:p w14:paraId="6802F5FD" w14:textId="77777777" w:rsidR="009B3F7D" w:rsidRDefault="009B3F7D">
            <w:r>
              <w:t xml:space="preserve">Often ‘virtual’ in nature (i.e. exchanges are held over the internet), this is a group of individuals who share their experiences and build their knowledge together. They are focused on specific themes, technical or professional areas, processes etc. </w:t>
            </w:r>
          </w:p>
        </w:tc>
      </w:tr>
      <w:tr w:rsidR="009B3F7D" w14:paraId="7F10382A" w14:textId="0D4D127E" w:rsidTr="009B3F7D">
        <w:trPr>
          <w:cnfStyle w:val="000000100000" w:firstRow="0" w:lastRow="0" w:firstColumn="0" w:lastColumn="0" w:oddVBand="0" w:evenVBand="0" w:oddHBand="1" w:evenHBand="0" w:firstRowFirstColumn="0" w:firstRowLastColumn="0" w:lastRowFirstColumn="0" w:lastRowLastColumn="0"/>
          <w:trHeight w:val="133"/>
        </w:trPr>
        <w:tc>
          <w:tcPr>
            <w:tcW w:w="2122" w:type="dxa"/>
            <w:hideMark/>
          </w:tcPr>
          <w:p w14:paraId="2B71D7E5" w14:textId="77777777" w:rsidR="009B3F7D" w:rsidRDefault="009B3F7D">
            <w:pPr>
              <w:rPr>
                <w:b/>
              </w:rPr>
            </w:pPr>
            <w:r>
              <w:rPr>
                <w:b/>
              </w:rPr>
              <w:t>Action Learning Set</w:t>
            </w:r>
          </w:p>
        </w:tc>
        <w:tc>
          <w:tcPr>
            <w:tcW w:w="10053" w:type="dxa"/>
            <w:hideMark/>
          </w:tcPr>
          <w:p w14:paraId="0B5961F9" w14:textId="05DB7D61" w:rsidR="009B3F7D" w:rsidRDefault="009B3F7D" w:rsidP="009B3F7D">
            <w:r>
              <w:t xml:space="preserve">A group meets on a regular basis and uses a specific method to support each member in turn to reflect and act upon a work issue. See   </w:t>
            </w:r>
            <w:hyperlink r:id="rId15" w:history="1">
              <w:r>
                <w:rPr>
                  <w:rStyle w:val="Hyperlink"/>
                </w:rPr>
                <w:t>http://www.odi.org.uk/publications/5230-action-learning-set-process</w:t>
              </w:r>
            </w:hyperlink>
            <w:r>
              <w:t xml:space="preserve"> and </w:t>
            </w:r>
            <w:hyperlink r:id="rId16" w:history="1">
              <w:r>
                <w:rPr>
                  <w:rStyle w:val="Hyperlink"/>
                  <w:color w:val="1155CC"/>
                </w:rPr>
                <w:t>https://www.intrac.org/resources/action-learning-sets-guide-small-diaspora-ngos/action-learning-sets-an-intrac-guide-2/</w:t>
              </w:r>
            </w:hyperlink>
          </w:p>
        </w:tc>
      </w:tr>
      <w:tr w:rsidR="009B3F7D" w14:paraId="3F7B94E2" w14:textId="6C804027" w:rsidTr="009B3F7D">
        <w:trPr>
          <w:trHeight w:val="133"/>
        </w:trPr>
        <w:tc>
          <w:tcPr>
            <w:tcW w:w="2122" w:type="dxa"/>
          </w:tcPr>
          <w:p w14:paraId="2C4791A1" w14:textId="77777777" w:rsidR="009B3F7D" w:rsidRDefault="009B3F7D">
            <w:pPr>
              <w:rPr>
                <w:b/>
              </w:rPr>
            </w:pPr>
            <w:r>
              <w:rPr>
                <w:b/>
              </w:rPr>
              <w:t>Peer Support groups and Peer Assists</w:t>
            </w:r>
          </w:p>
          <w:p w14:paraId="50AA9665" w14:textId="77777777" w:rsidR="009B3F7D" w:rsidRDefault="009B3F7D">
            <w:pPr>
              <w:rPr>
                <w:b/>
              </w:rPr>
            </w:pPr>
          </w:p>
        </w:tc>
        <w:tc>
          <w:tcPr>
            <w:tcW w:w="10053" w:type="dxa"/>
            <w:hideMark/>
          </w:tcPr>
          <w:p w14:paraId="3B58706A" w14:textId="77777777" w:rsidR="009B3F7D" w:rsidRDefault="009B3F7D">
            <w:r>
              <w:t xml:space="preserve">In general terms, Peer Support groups can be time-bound, and ‘virtual’ gatherings of people working in similar areas who are open to supporting each other.  Peer Assists is when one individual has something they want to move forward with, and brings together others with experience in that area to help him/her think about alternatives </w:t>
            </w:r>
          </w:p>
          <w:p w14:paraId="4ADD7689" w14:textId="77777777" w:rsidR="009B3F7D" w:rsidRDefault="009B3F7D">
            <w:hyperlink r:id="rId17" w:history="1">
              <w:r>
                <w:rPr>
                  <w:rStyle w:val="Hyperlink"/>
                </w:rPr>
                <w:t>http://www.odi.org.uk/sites/odi.org.uk/files/odi-assets/publications-opinion-files/6427.pdf</w:t>
              </w:r>
            </w:hyperlink>
          </w:p>
          <w:p w14:paraId="2D19526B" w14:textId="77777777" w:rsidR="009B3F7D" w:rsidRDefault="009B3F7D">
            <w:hyperlink r:id="rId18" w:history="1">
              <w:r>
                <w:rPr>
                  <w:rStyle w:val="Hyperlink"/>
                </w:rPr>
                <w:t>http://www.youtube.com/watch?v=ObmQyW3EiiE</w:t>
              </w:r>
            </w:hyperlink>
          </w:p>
        </w:tc>
      </w:tr>
      <w:tr w:rsidR="009B3F7D" w14:paraId="7BBC2AAD" w14:textId="586F5A4D" w:rsidTr="009B3F7D">
        <w:trPr>
          <w:cnfStyle w:val="000000100000" w:firstRow="0" w:lastRow="0" w:firstColumn="0" w:lastColumn="0" w:oddVBand="0" w:evenVBand="0" w:oddHBand="1" w:evenHBand="0" w:firstRowFirstColumn="0" w:firstRowLastColumn="0" w:lastRowFirstColumn="0" w:lastRowLastColumn="0"/>
          <w:trHeight w:val="133"/>
        </w:trPr>
        <w:tc>
          <w:tcPr>
            <w:tcW w:w="2122" w:type="dxa"/>
            <w:hideMark/>
          </w:tcPr>
          <w:p w14:paraId="030B7CEB" w14:textId="77777777" w:rsidR="009B3F7D" w:rsidRDefault="009B3F7D">
            <w:pPr>
              <w:rPr>
                <w:b/>
              </w:rPr>
            </w:pPr>
            <w:r>
              <w:rPr>
                <w:b/>
              </w:rPr>
              <w:lastRenderedPageBreak/>
              <w:t>Peer Review</w:t>
            </w:r>
          </w:p>
        </w:tc>
        <w:tc>
          <w:tcPr>
            <w:tcW w:w="10053" w:type="dxa"/>
            <w:hideMark/>
          </w:tcPr>
          <w:p w14:paraId="6AC3FC8A" w14:textId="77777777" w:rsidR="009B3F7D" w:rsidRDefault="009B3F7D">
            <w:r>
              <w:t xml:space="preserve">Peers engage in reviewing the work of another peer. This can take place at individual, team, unit, or organisational levels. It can be part of a formal evaluation, or as an approach to peer learning. </w:t>
            </w:r>
          </w:p>
        </w:tc>
      </w:tr>
      <w:tr w:rsidR="009B3F7D" w14:paraId="78731168" w14:textId="5E34ABBD" w:rsidTr="009B3F7D">
        <w:trPr>
          <w:trHeight w:val="133"/>
        </w:trPr>
        <w:tc>
          <w:tcPr>
            <w:tcW w:w="2122" w:type="dxa"/>
            <w:hideMark/>
          </w:tcPr>
          <w:p w14:paraId="7CBE18F1" w14:textId="77777777" w:rsidR="009B3F7D" w:rsidRDefault="009B3F7D">
            <w:pPr>
              <w:rPr>
                <w:b/>
              </w:rPr>
            </w:pPr>
            <w:r>
              <w:rPr>
                <w:b/>
              </w:rPr>
              <w:t>Partner meetings</w:t>
            </w:r>
          </w:p>
        </w:tc>
        <w:tc>
          <w:tcPr>
            <w:tcW w:w="10053" w:type="dxa"/>
            <w:hideMark/>
          </w:tcPr>
          <w:p w14:paraId="23CFDD8C" w14:textId="77777777" w:rsidR="009B3F7D" w:rsidRDefault="009B3F7D">
            <w:r>
              <w:t>Regular meetings of VVOB partners may include the provision of some specific input with the aim of enhancing capacities. For example, inviting a guest speaker to discuss new developments in the sector.</w:t>
            </w:r>
          </w:p>
        </w:tc>
      </w:tr>
      <w:tr w:rsidR="009B3F7D" w14:paraId="614C06A8" w14:textId="07D0F5A9" w:rsidTr="009B3F7D">
        <w:trPr>
          <w:cnfStyle w:val="000000100000" w:firstRow="0" w:lastRow="0" w:firstColumn="0" w:lastColumn="0" w:oddVBand="0" w:evenVBand="0" w:oddHBand="1" w:evenHBand="0" w:firstRowFirstColumn="0" w:firstRowLastColumn="0" w:lastRowFirstColumn="0" w:lastRowLastColumn="0"/>
          <w:trHeight w:val="794"/>
        </w:trPr>
        <w:tc>
          <w:tcPr>
            <w:tcW w:w="2122" w:type="dxa"/>
            <w:hideMark/>
          </w:tcPr>
          <w:p w14:paraId="716FC2E8" w14:textId="77777777" w:rsidR="009B3F7D" w:rsidRDefault="009B3F7D">
            <w:pPr>
              <w:rPr>
                <w:b/>
              </w:rPr>
            </w:pPr>
            <w:r>
              <w:rPr>
                <w:b/>
              </w:rPr>
              <w:t>Joint Monitoring and Evaluation</w:t>
            </w:r>
          </w:p>
        </w:tc>
        <w:tc>
          <w:tcPr>
            <w:tcW w:w="10053" w:type="dxa"/>
            <w:hideMark/>
          </w:tcPr>
          <w:p w14:paraId="67952F7F" w14:textId="77777777" w:rsidR="009B3F7D" w:rsidRDefault="009B3F7D">
            <w:r>
              <w:t xml:space="preserve">Including individuals from partner organisations in the monitoring or evaluation of specific programmes.  </w:t>
            </w:r>
          </w:p>
        </w:tc>
      </w:tr>
      <w:tr w:rsidR="009B3F7D" w14:paraId="40744456" w14:textId="52BC4630" w:rsidTr="009B3F7D">
        <w:trPr>
          <w:trHeight w:val="918"/>
        </w:trPr>
        <w:tc>
          <w:tcPr>
            <w:tcW w:w="2122" w:type="dxa"/>
            <w:hideMark/>
          </w:tcPr>
          <w:p w14:paraId="3CA84DF9" w14:textId="77777777" w:rsidR="009B3F7D" w:rsidRDefault="009B3F7D">
            <w:pPr>
              <w:rPr>
                <w:b/>
              </w:rPr>
            </w:pPr>
            <w:r>
              <w:rPr>
                <w:b/>
              </w:rPr>
              <w:t>Signposting information and resources</w:t>
            </w:r>
          </w:p>
        </w:tc>
        <w:tc>
          <w:tcPr>
            <w:tcW w:w="10053" w:type="dxa"/>
            <w:hideMark/>
          </w:tcPr>
          <w:p w14:paraId="1FC4155D" w14:textId="77777777" w:rsidR="009B3F7D" w:rsidRDefault="009B3F7D">
            <w:r>
              <w:t xml:space="preserve">The provision of information and materials, or the indication of where to gain access to such materials and information. </w:t>
            </w:r>
          </w:p>
        </w:tc>
      </w:tr>
      <w:tr w:rsidR="009B3F7D" w14:paraId="584C391C" w14:textId="1B799F58" w:rsidTr="009B3F7D">
        <w:trPr>
          <w:cnfStyle w:val="000000100000" w:firstRow="0" w:lastRow="0" w:firstColumn="0" w:lastColumn="0" w:oddVBand="0" w:evenVBand="0" w:oddHBand="1" w:evenHBand="0" w:firstRowFirstColumn="0" w:firstRowLastColumn="0" w:lastRowFirstColumn="0" w:lastRowLastColumn="0"/>
          <w:trHeight w:val="962"/>
        </w:trPr>
        <w:tc>
          <w:tcPr>
            <w:tcW w:w="2122" w:type="dxa"/>
            <w:hideMark/>
          </w:tcPr>
          <w:p w14:paraId="476E6FE2" w14:textId="77777777" w:rsidR="009B3F7D" w:rsidRDefault="009B3F7D">
            <w:pPr>
              <w:rPr>
                <w:b/>
              </w:rPr>
            </w:pPr>
            <w:r>
              <w:rPr>
                <w:b/>
              </w:rPr>
              <w:t>Opening doors and facilitating access</w:t>
            </w:r>
          </w:p>
        </w:tc>
        <w:tc>
          <w:tcPr>
            <w:tcW w:w="10053" w:type="dxa"/>
            <w:hideMark/>
          </w:tcPr>
          <w:p w14:paraId="72C7065E" w14:textId="77777777" w:rsidR="009B3F7D" w:rsidRDefault="009B3F7D">
            <w:r>
              <w:t>Facilitating partners’ access to new contacts, decision makers and other influential people and institutions as a contribution towards enhancing relational capacity and achievement of objectives.</w:t>
            </w:r>
          </w:p>
        </w:tc>
      </w:tr>
      <w:tr w:rsidR="009B3F7D" w14:paraId="32CE4CD6" w14:textId="4D68036D" w:rsidTr="009B3F7D">
        <w:trPr>
          <w:trHeight w:val="1132"/>
        </w:trPr>
        <w:tc>
          <w:tcPr>
            <w:tcW w:w="2122" w:type="dxa"/>
            <w:hideMark/>
          </w:tcPr>
          <w:p w14:paraId="7F37D5D6" w14:textId="77777777" w:rsidR="009B3F7D" w:rsidRDefault="009B3F7D">
            <w:pPr>
              <w:rPr>
                <w:b/>
              </w:rPr>
            </w:pPr>
            <w:r>
              <w:rPr>
                <w:b/>
              </w:rPr>
              <w:t>Harvesting experiences</w:t>
            </w:r>
          </w:p>
        </w:tc>
        <w:tc>
          <w:tcPr>
            <w:tcW w:w="10053" w:type="dxa"/>
            <w:hideMark/>
          </w:tcPr>
          <w:p w14:paraId="1C137DD0" w14:textId="77777777" w:rsidR="009B3F7D" w:rsidRDefault="009B3F7D">
            <w:r>
              <w:t>Systematization of experience with a view to sharing key points with others. The process of gathering the experiences is often done in a way which can help collective reflection on the advances of the work, lessons learnt etc.</w:t>
            </w:r>
          </w:p>
        </w:tc>
      </w:tr>
      <w:tr w:rsidR="009B3F7D" w14:paraId="27CE80C6" w14:textId="1611D9B1" w:rsidTr="009B3F7D">
        <w:trPr>
          <w:cnfStyle w:val="000000100000" w:firstRow="0" w:lastRow="0" w:firstColumn="0" w:lastColumn="0" w:oddVBand="0" w:evenVBand="0" w:oddHBand="1" w:evenHBand="0" w:firstRowFirstColumn="0" w:firstRowLastColumn="0" w:lastRowFirstColumn="0" w:lastRowLastColumn="0"/>
          <w:trHeight w:val="1120"/>
        </w:trPr>
        <w:tc>
          <w:tcPr>
            <w:tcW w:w="2122" w:type="dxa"/>
            <w:hideMark/>
          </w:tcPr>
          <w:p w14:paraId="2F667107" w14:textId="77777777" w:rsidR="009B3F7D" w:rsidRDefault="009B3F7D">
            <w:pPr>
              <w:rPr>
                <w:b/>
              </w:rPr>
            </w:pPr>
            <w:r>
              <w:rPr>
                <w:b/>
              </w:rPr>
              <w:t>Accompaniment</w:t>
            </w:r>
          </w:p>
        </w:tc>
        <w:tc>
          <w:tcPr>
            <w:tcW w:w="10053" w:type="dxa"/>
            <w:hideMark/>
          </w:tcPr>
          <w:p w14:paraId="080AF7BB" w14:textId="77777777" w:rsidR="009B3F7D" w:rsidRDefault="009B3F7D">
            <w:r>
              <w:t>The on-going, regular accompaniment of an advisor with a partner organisation. Capacity development takes place through largely informal means – conversations, joint working etc. More structured coaching may be incorporated into this on-going relationship.</w:t>
            </w:r>
          </w:p>
        </w:tc>
      </w:tr>
    </w:tbl>
    <w:p w14:paraId="382EFC7A" w14:textId="77777777" w:rsidR="008C535C" w:rsidRDefault="008C535C" w:rsidP="008C535C">
      <w:pPr>
        <w:spacing w:before="120"/>
        <w:rPr>
          <w:color w:val="000000"/>
          <w:sz w:val="20"/>
          <w:szCs w:val="20"/>
        </w:rPr>
      </w:pPr>
    </w:p>
    <w:sectPr w:rsidR="008C535C" w:rsidSect="009B3F7D">
      <w:headerReference w:type="default" r:id="rId19"/>
      <w:footerReference w:type="default" r:id="rId20"/>
      <w:footerReference w:type="first" r:id="rId21"/>
      <w:pgSz w:w="16838" w:h="11906" w:orient="landscape"/>
      <w:pgMar w:top="1440" w:right="2946" w:bottom="1276" w:left="1440" w:header="708" w:footer="88"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B7383A" w14:textId="77777777" w:rsidR="00F53BBF" w:rsidRDefault="00F53BBF">
      <w:r>
        <w:separator/>
      </w:r>
    </w:p>
  </w:endnote>
  <w:endnote w:type="continuationSeparator" w:id="0">
    <w:p w14:paraId="4BC852C0" w14:textId="77777777" w:rsidR="00F53BBF" w:rsidRDefault="00F53B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0369168"/>
      <w:docPartObj>
        <w:docPartGallery w:val="Page Numbers (Bottom of Page)"/>
        <w:docPartUnique/>
      </w:docPartObj>
    </w:sdtPr>
    <w:sdtEndPr>
      <w:rPr>
        <w:noProof/>
      </w:rPr>
    </w:sdtEndPr>
    <w:sdtContent>
      <w:p w14:paraId="2F3687DB" w14:textId="4EEB2898" w:rsidR="002F276C" w:rsidRDefault="002F276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9CA8ECE" w14:textId="77777777" w:rsidR="002F276C" w:rsidRDefault="002F27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2829550"/>
      <w:docPartObj>
        <w:docPartGallery w:val="Page Numbers (Bottom of Page)"/>
        <w:docPartUnique/>
      </w:docPartObj>
    </w:sdtPr>
    <w:sdtEndPr>
      <w:rPr>
        <w:noProof/>
      </w:rPr>
    </w:sdtEndPr>
    <w:sdtContent>
      <w:p w14:paraId="12E25CC9" w14:textId="0A41B0C4" w:rsidR="002F276C" w:rsidRDefault="002F276C" w:rsidP="002F276C">
        <w:pPr>
          <w:pStyle w:val="Footer"/>
          <w:jc w:val="right"/>
        </w:pPr>
        <w:r>
          <w:fldChar w:fldCharType="begin"/>
        </w:r>
        <w:r>
          <w:instrText xml:space="preserve"> PAGE   \* MERGEFORMAT </w:instrText>
        </w:r>
        <w:r>
          <w:fldChar w:fldCharType="separate"/>
        </w:r>
        <w:r>
          <w:t>3</w:t>
        </w:r>
        <w:r>
          <w:rPr>
            <w:noProof/>
          </w:rPr>
          <w:fldChar w:fldCharType="end"/>
        </w:r>
      </w:p>
    </w:sdtContent>
  </w:sdt>
  <w:p w14:paraId="1F6C4A0A" w14:textId="0E84E985" w:rsidR="002F276C" w:rsidRDefault="002F276C" w:rsidP="002F276C">
    <w:pPr>
      <w:rPr>
        <w:color w:val="000000"/>
        <w:sz w:val="18"/>
        <w:szCs w:val="18"/>
      </w:rPr>
    </w:pPr>
  </w:p>
  <w:p w14:paraId="110E4072" w14:textId="5FE6013F" w:rsidR="002F276C" w:rsidRPr="00A853C3" w:rsidRDefault="002F276C" w:rsidP="002F276C">
    <w:pPr>
      <w:rPr>
        <w:sz w:val="18"/>
        <w:szCs w:val="18"/>
      </w:rPr>
    </w:pPr>
    <w:r w:rsidRPr="00A853C3">
      <w:rPr>
        <w:color w:val="000000"/>
        <w:sz w:val="18"/>
        <w:szCs w:val="18"/>
      </w:rPr>
      <w:t>This work is licensed under the Creative Commons Attribution-</w:t>
    </w:r>
    <w:proofErr w:type="spellStart"/>
    <w:r w:rsidRPr="00A853C3">
      <w:rPr>
        <w:color w:val="000000"/>
        <w:sz w:val="18"/>
        <w:szCs w:val="18"/>
      </w:rPr>
      <w:t>NonCommercial</w:t>
    </w:r>
    <w:proofErr w:type="spellEnd"/>
    <w:r w:rsidRPr="00A853C3">
      <w:rPr>
        <w:color w:val="000000"/>
        <w:sz w:val="18"/>
        <w:szCs w:val="18"/>
      </w:rPr>
      <w:t>-</w:t>
    </w:r>
    <w:proofErr w:type="spellStart"/>
    <w:r w:rsidRPr="00A853C3">
      <w:rPr>
        <w:color w:val="000000"/>
        <w:sz w:val="18"/>
        <w:szCs w:val="18"/>
      </w:rPr>
      <w:t>ShareAlike</w:t>
    </w:r>
    <w:proofErr w:type="spellEnd"/>
    <w:r w:rsidRPr="00A853C3">
      <w:rPr>
        <w:color w:val="000000"/>
        <w:sz w:val="18"/>
        <w:szCs w:val="18"/>
      </w:rPr>
      <w:t xml:space="preserve"> 4.0 International License. To view a copy of this license, visit </w:t>
    </w:r>
    <w:hyperlink r:id="rId1" w:history="1">
      <w:r w:rsidRPr="00A853C3">
        <w:rPr>
          <w:sz w:val="18"/>
          <w:szCs w:val="18"/>
        </w:rPr>
        <w:t>http://creativecommons.org/licenses/by-nc-sa/4.0/</w:t>
      </w:r>
    </w:hyperlink>
    <w:r w:rsidRPr="00A853C3">
      <w:rPr>
        <w:color w:val="000000"/>
        <w:sz w:val="18"/>
        <w:szCs w:val="18"/>
      </w:rPr>
      <w:t xml:space="preserve"> </w:t>
    </w:r>
  </w:p>
  <w:p w14:paraId="454F6BAB" w14:textId="107DA3A3" w:rsidR="002F276C" w:rsidRDefault="002F27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6243E6" w14:textId="77777777" w:rsidR="00F53BBF" w:rsidRDefault="00F53BBF">
      <w:r>
        <w:separator/>
      </w:r>
    </w:p>
  </w:footnote>
  <w:footnote w:type="continuationSeparator" w:id="0">
    <w:p w14:paraId="744BA134" w14:textId="77777777" w:rsidR="00F53BBF" w:rsidRDefault="00F53B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9B352" w14:textId="66B58DBF" w:rsidR="00230958" w:rsidRDefault="00DB0EC9" w:rsidP="00DB0EC9">
    <w:pPr>
      <w:tabs>
        <w:tab w:val="center" w:pos="1256"/>
        <w:tab w:val="right" w:pos="2512"/>
      </w:tabs>
      <w:rPr>
        <w:color w:val="000000"/>
      </w:rPr>
    </w:pPr>
    <w:r>
      <w:rPr>
        <w:color w:val="000000"/>
      </w:rPr>
      <w:tab/>
    </w:r>
    <w:r>
      <w:rPr>
        <w:color w:val="00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839A9"/>
    <w:multiLevelType w:val="multilevel"/>
    <w:tmpl w:val="A47A5D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63551CA"/>
    <w:multiLevelType w:val="multilevel"/>
    <w:tmpl w:val="D062C0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62A7AC2"/>
    <w:multiLevelType w:val="multilevel"/>
    <w:tmpl w:val="7E8659A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18216421"/>
    <w:multiLevelType w:val="multilevel"/>
    <w:tmpl w:val="24F666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A032C06"/>
    <w:multiLevelType w:val="multilevel"/>
    <w:tmpl w:val="16CE44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E1E1EF9"/>
    <w:multiLevelType w:val="multilevel"/>
    <w:tmpl w:val="FBEE66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CB55C47"/>
    <w:multiLevelType w:val="multilevel"/>
    <w:tmpl w:val="BF04773C"/>
    <w:lvl w:ilvl="0">
      <w:start w:val="1"/>
      <w:numFmt w:val="bullet"/>
      <w:pStyle w:val="Heading1"/>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pStyle w:val="Heading3"/>
      <w:lvlText w:val="▪"/>
      <w:lvlJc w:val="left"/>
      <w:pPr>
        <w:ind w:left="2160" w:hanging="360"/>
      </w:pPr>
      <w:rPr>
        <w:rFonts w:ascii="Noto Sans Symbols" w:eastAsia="Noto Sans Symbols" w:hAnsi="Noto Sans Symbols" w:cs="Noto Sans Symbols"/>
      </w:rPr>
    </w:lvl>
    <w:lvl w:ilvl="3">
      <w:start w:val="1"/>
      <w:numFmt w:val="bullet"/>
      <w:pStyle w:val="Heading4"/>
      <w:lvlText w:val="●"/>
      <w:lvlJc w:val="left"/>
      <w:pPr>
        <w:ind w:left="2880" w:hanging="360"/>
      </w:pPr>
      <w:rPr>
        <w:rFonts w:ascii="Noto Sans Symbols" w:eastAsia="Noto Sans Symbols" w:hAnsi="Noto Sans Symbols" w:cs="Noto Sans Symbols"/>
      </w:rPr>
    </w:lvl>
    <w:lvl w:ilvl="4">
      <w:start w:val="1"/>
      <w:numFmt w:val="bullet"/>
      <w:pStyle w:val="Heading5"/>
      <w:lvlText w:val="o"/>
      <w:lvlJc w:val="left"/>
      <w:pPr>
        <w:ind w:left="3600" w:hanging="360"/>
      </w:pPr>
      <w:rPr>
        <w:rFonts w:ascii="Courier New" w:eastAsia="Courier New" w:hAnsi="Courier New" w:cs="Courier New"/>
      </w:rPr>
    </w:lvl>
    <w:lvl w:ilvl="5">
      <w:start w:val="1"/>
      <w:numFmt w:val="bullet"/>
      <w:pStyle w:val="Heading6"/>
      <w:lvlText w:val="▪"/>
      <w:lvlJc w:val="left"/>
      <w:pPr>
        <w:ind w:left="4320" w:hanging="360"/>
      </w:pPr>
      <w:rPr>
        <w:rFonts w:ascii="Noto Sans Symbols" w:eastAsia="Noto Sans Symbols" w:hAnsi="Noto Sans Symbols" w:cs="Noto Sans Symbols"/>
      </w:rPr>
    </w:lvl>
    <w:lvl w:ilvl="6">
      <w:start w:val="1"/>
      <w:numFmt w:val="bullet"/>
      <w:pStyle w:val="Heading7"/>
      <w:lvlText w:val="●"/>
      <w:lvlJc w:val="left"/>
      <w:pPr>
        <w:ind w:left="5040" w:hanging="360"/>
      </w:pPr>
      <w:rPr>
        <w:rFonts w:ascii="Noto Sans Symbols" w:eastAsia="Noto Sans Symbols" w:hAnsi="Noto Sans Symbols" w:cs="Noto Sans Symbols"/>
      </w:rPr>
    </w:lvl>
    <w:lvl w:ilvl="7">
      <w:start w:val="1"/>
      <w:numFmt w:val="bullet"/>
      <w:pStyle w:val="Heading8"/>
      <w:lvlText w:val="o"/>
      <w:lvlJc w:val="left"/>
      <w:pPr>
        <w:ind w:left="5760" w:hanging="360"/>
      </w:pPr>
      <w:rPr>
        <w:rFonts w:ascii="Courier New" w:eastAsia="Courier New" w:hAnsi="Courier New" w:cs="Courier New"/>
      </w:rPr>
    </w:lvl>
    <w:lvl w:ilvl="8">
      <w:start w:val="1"/>
      <w:numFmt w:val="bullet"/>
      <w:pStyle w:val="Heading9"/>
      <w:lvlText w:val="▪"/>
      <w:lvlJc w:val="left"/>
      <w:pPr>
        <w:ind w:left="6480" w:hanging="360"/>
      </w:pPr>
      <w:rPr>
        <w:rFonts w:ascii="Noto Sans Symbols" w:eastAsia="Noto Sans Symbols" w:hAnsi="Noto Sans Symbols" w:cs="Noto Sans Symbols"/>
      </w:rPr>
    </w:lvl>
  </w:abstractNum>
  <w:abstractNum w:abstractNumId="7" w15:restartNumberingAfterBreak="0">
    <w:nsid w:val="2CD40D07"/>
    <w:multiLevelType w:val="hybridMultilevel"/>
    <w:tmpl w:val="D6446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647F41"/>
    <w:multiLevelType w:val="multilevel"/>
    <w:tmpl w:val="82E27E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46A72C62"/>
    <w:multiLevelType w:val="multilevel"/>
    <w:tmpl w:val="D102E1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49D661D9"/>
    <w:multiLevelType w:val="multilevel"/>
    <w:tmpl w:val="33C0C0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4DB44357"/>
    <w:multiLevelType w:val="multilevel"/>
    <w:tmpl w:val="4EFA61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4E3512FF"/>
    <w:multiLevelType w:val="multilevel"/>
    <w:tmpl w:val="0E1C91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13" w15:restartNumberingAfterBreak="0">
    <w:nsid w:val="50CE34F5"/>
    <w:multiLevelType w:val="multilevel"/>
    <w:tmpl w:val="B84EFD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5BBD2C87"/>
    <w:multiLevelType w:val="multilevel"/>
    <w:tmpl w:val="DBAAA4F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60FC5F2E"/>
    <w:multiLevelType w:val="multilevel"/>
    <w:tmpl w:val="7C5C6E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61693D9F"/>
    <w:multiLevelType w:val="hybridMultilevel"/>
    <w:tmpl w:val="90FECF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83267CA"/>
    <w:multiLevelType w:val="multilevel"/>
    <w:tmpl w:val="F74A898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8" w15:restartNumberingAfterBreak="0">
    <w:nsid w:val="7FF77633"/>
    <w:multiLevelType w:val="hybridMultilevel"/>
    <w:tmpl w:val="3BA82084"/>
    <w:lvl w:ilvl="0" w:tplc="FF88D24C">
      <w:start w:val="6"/>
      <w:numFmt w:val="bullet"/>
      <w:lvlText w:val="-"/>
      <w:lvlJc w:val="left"/>
      <w:pPr>
        <w:ind w:left="410" w:hanging="360"/>
      </w:pPr>
      <w:rPr>
        <w:rFonts w:ascii="Calibri" w:eastAsia="Times New Roman" w:hAnsi="Calibri" w:cs="Calibri" w:hint="default"/>
      </w:rPr>
    </w:lvl>
    <w:lvl w:ilvl="1" w:tplc="08090003">
      <w:start w:val="1"/>
      <w:numFmt w:val="bullet"/>
      <w:lvlText w:val="o"/>
      <w:lvlJc w:val="left"/>
      <w:pPr>
        <w:ind w:left="1130" w:hanging="360"/>
      </w:pPr>
      <w:rPr>
        <w:rFonts w:ascii="Courier New" w:hAnsi="Courier New" w:cs="Courier New" w:hint="default"/>
      </w:rPr>
    </w:lvl>
    <w:lvl w:ilvl="2" w:tplc="08090005" w:tentative="1">
      <w:start w:val="1"/>
      <w:numFmt w:val="bullet"/>
      <w:lvlText w:val=""/>
      <w:lvlJc w:val="left"/>
      <w:pPr>
        <w:ind w:left="1850" w:hanging="360"/>
      </w:pPr>
      <w:rPr>
        <w:rFonts w:ascii="Wingdings" w:hAnsi="Wingdings" w:hint="default"/>
      </w:rPr>
    </w:lvl>
    <w:lvl w:ilvl="3" w:tplc="08090001" w:tentative="1">
      <w:start w:val="1"/>
      <w:numFmt w:val="bullet"/>
      <w:lvlText w:val=""/>
      <w:lvlJc w:val="left"/>
      <w:pPr>
        <w:ind w:left="2570" w:hanging="360"/>
      </w:pPr>
      <w:rPr>
        <w:rFonts w:ascii="Symbol" w:hAnsi="Symbol" w:hint="default"/>
      </w:rPr>
    </w:lvl>
    <w:lvl w:ilvl="4" w:tplc="08090003" w:tentative="1">
      <w:start w:val="1"/>
      <w:numFmt w:val="bullet"/>
      <w:lvlText w:val="o"/>
      <w:lvlJc w:val="left"/>
      <w:pPr>
        <w:ind w:left="3290" w:hanging="360"/>
      </w:pPr>
      <w:rPr>
        <w:rFonts w:ascii="Courier New" w:hAnsi="Courier New" w:cs="Courier New" w:hint="default"/>
      </w:rPr>
    </w:lvl>
    <w:lvl w:ilvl="5" w:tplc="08090005" w:tentative="1">
      <w:start w:val="1"/>
      <w:numFmt w:val="bullet"/>
      <w:lvlText w:val=""/>
      <w:lvlJc w:val="left"/>
      <w:pPr>
        <w:ind w:left="4010" w:hanging="360"/>
      </w:pPr>
      <w:rPr>
        <w:rFonts w:ascii="Wingdings" w:hAnsi="Wingdings" w:hint="default"/>
      </w:rPr>
    </w:lvl>
    <w:lvl w:ilvl="6" w:tplc="08090001" w:tentative="1">
      <w:start w:val="1"/>
      <w:numFmt w:val="bullet"/>
      <w:lvlText w:val=""/>
      <w:lvlJc w:val="left"/>
      <w:pPr>
        <w:ind w:left="4730" w:hanging="360"/>
      </w:pPr>
      <w:rPr>
        <w:rFonts w:ascii="Symbol" w:hAnsi="Symbol" w:hint="default"/>
      </w:rPr>
    </w:lvl>
    <w:lvl w:ilvl="7" w:tplc="08090003" w:tentative="1">
      <w:start w:val="1"/>
      <w:numFmt w:val="bullet"/>
      <w:lvlText w:val="o"/>
      <w:lvlJc w:val="left"/>
      <w:pPr>
        <w:ind w:left="5450" w:hanging="360"/>
      </w:pPr>
      <w:rPr>
        <w:rFonts w:ascii="Courier New" w:hAnsi="Courier New" w:cs="Courier New" w:hint="default"/>
      </w:rPr>
    </w:lvl>
    <w:lvl w:ilvl="8" w:tplc="08090005" w:tentative="1">
      <w:start w:val="1"/>
      <w:numFmt w:val="bullet"/>
      <w:lvlText w:val=""/>
      <w:lvlJc w:val="left"/>
      <w:pPr>
        <w:ind w:left="6170" w:hanging="360"/>
      </w:pPr>
      <w:rPr>
        <w:rFonts w:ascii="Wingdings" w:hAnsi="Wingdings" w:hint="default"/>
      </w:rPr>
    </w:lvl>
  </w:abstractNum>
  <w:num w:numId="1" w16cid:durableId="2070181812">
    <w:abstractNumId w:val="15"/>
  </w:num>
  <w:num w:numId="2" w16cid:durableId="543257661">
    <w:abstractNumId w:val="6"/>
  </w:num>
  <w:num w:numId="3" w16cid:durableId="238711121">
    <w:abstractNumId w:val="12"/>
  </w:num>
  <w:num w:numId="4" w16cid:durableId="1921401193">
    <w:abstractNumId w:val="0"/>
  </w:num>
  <w:num w:numId="5" w16cid:durableId="1248153966">
    <w:abstractNumId w:val="3"/>
  </w:num>
  <w:num w:numId="6" w16cid:durableId="689182568">
    <w:abstractNumId w:val="9"/>
  </w:num>
  <w:num w:numId="7" w16cid:durableId="1591237743">
    <w:abstractNumId w:val="13"/>
  </w:num>
  <w:num w:numId="8" w16cid:durableId="1559627794">
    <w:abstractNumId w:val="2"/>
  </w:num>
  <w:num w:numId="9" w16cid:durableId="1577401665">
    <w:abstractNumId w:val="11"/>
  </w:num>
  <w:num w:numId="10" w16cid:durableId="1491870416">
    <w:abstractNumId w:val="10"/>
  </w:num>
  <w:num w:numId="11" w16cid:durableId="640768945">
    <w:abstractNumId w:val="5"/>
  </w:num>
  <w:num w:numId="12" w16cid:durableId="1355183277">
    <w:abstractNumId w:val="1"/>
  </w:num>
  <w:num w:numId="13" w16cid:durableId="1387100023">
    <w:abstractNumId w:val="4"/>
  </w:num>
  <w:num w:numId="14" w16cid:durableId="1069959993">
    <w:abstractNumId w:val="8"/>
  </w:num>
  <w:num w:numId="15" w16cid:durableId="1035078360">
    <w:abstractNumId w:val="7"/>
  </w:num>
  <w:num w:numId="16" w16cid:durableId="1591348414">
    <w:abstractNumId w:val="18"/>
  </w:num>
  <w:num w:numId="17" w16cid:durableId="1173303608">
    <w:abstractNumId w:val="16"/>
  </w:num>
  <w:num w:numId="18" w16cid:durableId="118843559">
    <w:abstractNumId w:val="17"/>
  </w:num>
  <w:num w:numId="19" w16cid:durableId="66377540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0958"/>
    <w:rsid w:val="00013538"/>
    <w:rsid w:val="00063AEB"/>
    <w:rsid w:val="00084F55"/>
    <w:rsid w:val="000A4753"/>
    <w:rsid w:val="000F1ED6"/>
    <w:rsid w:val="001B4392"/>
    <w:rsid w:val="00230958"/>
    <w:rsid w:val="00262A6F"/>
    <w:rsid w:val="002E00D2"/>
    <w:rsid w:val="002F276C"/>
    <w:rsid w:val="00306411"/>
    <w:rsid w:val="004D68B2"/>
    <w:rsid w:val="00547B24"/>
    <w:rsid w:val="005A70A4"/>
    <w:rsid w:val="00644F63"/>
    <w:rsid w:val="0069333A"/>
    <w:rsid w:val="006B77EB"/>
    <w:rsid w:val="006E7D93"/>
    <w:rsid w:val="00716B60"/>
    <w:rsid w:val="007A2688"/>
    <w:rsid w:val="007A2DBC"/>
    <w:rsid w:val="007C7FF6"/>
    <w:rsid w:val="00853CEC"/>
    <w:rsid w:val="008C535C"/>
    <w:rsid w:val="008D6E3D"/>
    <w:rsid w:val="009B3F7D"/>
    <w:rsid w:val="00A1491B"/>
    <w:rsid w:val="00A80392"/>
    <w:rsid w:val="00A96F3B"/>
    <w:rsid w:val="00A97FFA"/>
    <w:rsid w:val="00B4778A"/>
    <w:rsid w:val="00BE4FE5"/>
    <w:rsid w:val="00C60FC0"/>
    <w:rsid w:val="00C67694"/>
    <w:rsid w:val="00C80CC3"/>
    <w:rsid w:val="00C80F9F"/>
    <w:rsid w:val="00CB776A"/>
    <w:rsid w:val="00CF0BB6"/>
    <w:rsid w:val="00D064C9"/>
    <w:rsid w:val="00D7774C"/>
    <w:rsid w:val="00DB0EC9"/>
    <w:rsid w:val="00DC2F5A"/>
    <w:rsid w:val="00DF0AD8"/>
    <w:rsid w:val="00DF3989"/>
    <w:rsid w:val="00E13E54"/>
    <w:rsid w:val="00E31B7B"/>
    <w:rsid w:val="00E56805"/>
    <w:rsid w:val="00E974B9"/>
    <w:rsid w:val="00EB0AA1"/>
    <w:rsid w:val="00F53BBF"/>
    <w:rsid w:val="00F74E8D"/>
    <w:rsid w:val="00FB1D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CDD8F9"/>
  <w15:docId w15:val="{D9BE3923-B7C4-476A-ABA0-2484E3B85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156DA"/>
    <w:pPr>
      <w:numPr>
        <w:numId w:val="2"/>
      </w:numPr>
      <w:pBdr>
        <w:top w:val="single" w:sz="4" w:space="4" w:color="000000"/>
      </w:pBdr>
      <w:spacing w:before="240" w:after="360"/>
      <w:ind w:left="432"/>
      <w:outlineLvl w:val="0"/>
    </w:pPr>
    <w:rPr>
      <w:rFonts w:eastAsia="MS PGothic" w:cs="Times New Roman"/>
      <w:caps/>
      <w:color w:val="4472C4" w:themeColor="accent1"/>
      <w:sz w:val="40"/>
      <w:szCs w:val="48"/>
    </w:rPr>
  </w:style>
  <w:style w:type="paragraph" w:styleId="Heading2">
    <w:name w:val="heading 2"/>
    <w:basedOn w:val="Normal"/>
    <w:next w:val="Normal"/>
    <w:link w:val="Heading2Char"/>
    <w:uiPriority w:val="9"/>
    <w:unhideWhenUsed/>
    <w:qFormat/>
    <w:rsid w:val="003B7CEE"/>
    <w:pPr>
      <w:keepNext/>
      <w:keepLines/>
      <w:spacing w:before="40"/>
      <w:outlineLvl w:val="1"/>
    </w:pPr>
    <w:rPr>
      <w:rFonts w:asciiTheme="majorHAnsi" w:eastAsiaTheme="majorEastAsia" w:hAnsiTheme="majorHAnsi" w:cstheme="majorBidi"/>
      <w:b/>
      <w:bCs/>
      <w:color w:val="775089"/>
      <w:sz w:val="26"/>
      <w:szCs w:val="26"/>
    </w:rPr>
  </w:style>
  <w:style w:type="paragraph" w:styleId="Heading3">
    <w:name w:val="heading 3"/>
    <w:basedOn w:val="Normal"/>
    <w:next w:val="Normal"/>
    <w:link w:val="Heading3Char"/>
    <w:uiPriority w:val="9"/>
    <w:semiHidden/>
    <w:unhideWhenUsed/>
    <w:qFormat/>
    <w:rsid w:val="002156DA"/>
    <w:pPr>
      <w:keepNext/>
      <w:keepLines/>
      <w:numPr>
        <w:ilvl w:val="2"/>
        <w:numId w:val="2"/>
      </w:numPr>
      <w:spacing w:before="125"/>
      <w:ind w:left="851" w:hanging="153"/>
      <w:outlineLvl w:val="2"/>
    </w:pPr>
    <w:rPr>
      <w:rFonts w:eastAsia="MS PGothic" w:cs="Times New Roman"/>
      <w:b/>
      <w:bCs/>
      <w:caps/>
      <w:color w:val="000000"/>
      <w:sz w:val="22"/>
    </w:rPr>
  </w:style>
  <w:style w:type="paragraph" w:styleId="Heading4">
    <w:name w:val="heading 4"/>
    <w:basedOn w:val="Normal"/>
    <w:next w:val="Normal"/>
    <w:link w:val="Heading4Char"/>
    <w:uiPriority w:val="9"/>
    <w:semiHidden/>
    <w:unhideWhenUsed/>
    <w:qFormat/>
    <w:rsid w:val="002156DA"/>
    <w:pPr>
      <w:keepNext/>
      <w:keepLines/>
      <w:numPr>
        <w:ilvl w:val="3"/>
        <w:numId w:val="2"/>
      </w:numPr>
      <w:spacing w:before="160" w:after="60"/>
      <w:ind w:left="862" w:hanging="153"/>
      <w:outlineLvl w:val="3"/>
    </w:pPr>
    <w:rPr>
      <w:rFonts w:eastAsia="MS PGothic" w:cs="Times New Roman"/>
      <w:bCs/>
      <w:iCs/>
      <w:color w:val="775089"/>
      <w:sz w:val="22"/>
    </w:rPr>
  </w:style>
  <w:style w:type="paragraph" w:styleId="Heading5">
    <w:name w:val="heading 5"/>
    <w:basedOn w:val="Normal"/>
    <w:next w:val="Normal"/>
    <w:link w:val="Heading5Char"/>
    <w:uiPriority w:val="9"/>
    <w:semiHidden/>
    <w:unhideWhenUsed/>
    <w:qFormat/>
    <w:rsid w:val="002156DA"/>
    <w:pPr>
      <w:keepNext/>
      <w:keepLines/>
      <w:numPr>
        <w:ilvl w:val="4"/>
        <w:numId w:val="2"/>
      </w:numPr>
      <w:spacing w:before="200"/>
      <w:outlineLvl w:val="4"/>
    </w:pPr>
    <w:rPr>
      <w:rFonts w:eastAsia="MS PGothic" w:cs="Times New Roman"/>
      <w:b/>
      <w:color w:val="7F7F7F" w:themeColor="text1" w:themeTint="80"/>
      <w:sz w:val="22"/>
    </w:rPr>
  </w:style>
  <w:style w:type="paragraph" w:styleId="Heading6">
    <w:name w:val="heading 6"/>
    <w:basedOn w:val="Normal"/>
    <w:next w:val="Normal"/>
    <w:link w:val="Heading6Char"/>
    <w:uiPriority w:val="9"/>
    <w:semiHidden/>
    <w:unhideWhenUsed/>
    <w:qFormat/>
    <w:rsid w:val="002156DA"/>
    <w:pPr>
      <w:keepNext/>
      <w:keepLines/>
      <w:numPr>
        <w:ilvl w:val="5"/>
        <w:numId w:val="2"/>
      </w:numPr>
      <w:spacing w:before="200"/>
      <w:outlineLvl w:val="5"/>
    </w:pPr>
    <w:rPr>
      <w:rFonts w:asciiTheme="majorHAnsi" w:eastAsiaTheme="majorEastAsia" w:hAnsiTheme="majorHAnsi" w:cstheme="majorBidi"/>
      <w:b/>
      <w:iCs/>
      <w:color w:val="7F7F7F" w:themeColor="text1" w:themeTint="80"/>
      <w:sz w:val="22"/>
    </w:rPr>
  </w:style>
  <w:style w:type="paragraph" w:styleId="Heading7">
    <w:name w:val="heading 7"/>
    <w:basedOn w:val="Normal"/>
    <w:next w:val="Normal"/>
    <w:link w:val="Heading7Char"/>
    <w:uiPriority w:val="9"/>
    <w:unhideWhenUsed/>
    <w:qFormat/>
    <w:rsid w:val="002156DA"/>
    <w:pPr>
      <w:keepNext/>
      <w:keepLines/>
      <w:numPr>
        <w:ilvl w:val="6"/>
        <w:numId w:val="2"/>
      </w:numPr>
      <w:spacing w:before="200"/>
      <w:outlineLvl w:val="6"/>
    </w:pPr>
    <w:rPr>
      <w:rFonts w:asciiTheme="majorHAnsi" w:eastAsiaTheme="majorEastAsia" w:hAnsiTheme="majorHAnsi" w:cstheme="majorBidi"/>
      <w:b/>
      <w:iCs/>
      <w:color w:val="7F7F7F" w:themeColor="text1" w:themeTint="80"/>
      <w:sz w:val="22"/>
    </w:rPr>
  </w:style>
  <w:style w:type="paragraph" w:styleId="Heading8">
    <w:name w:val="heading 8"/>
    <w:basedOn w:val="Normal"/>
    <w:next w:val="Normal"/>
    <w:link w:val="Heading8Char"/>
    <w:uiPriority w:val="9"/>
    <w:unhideWhenUsed/>
    <w:qFormat/>
    <w:rsid w:val="002156DA"/>
    <w:pPr>
      <w:keepNext/>
      <w:keepLines/>
      <w:numPr>
        <w:ilvl w:val="7"/>
        <w:numId w:val="2"/>
      </w:numPr>
      <w:spacing w:before="200"/>
      <w:outlineLvl w:val="7"/>
    </w:pPr>
    <w:rPr>
      <w:rFonts w:asciiTheme="majorHAnsi" w:eastAsiaTheme="majorEastAsia" w:hAnsiTheme="majorHAnsi" w:cstheme="majorBidi"/>
      <w:b/>
      <w:color w:val="7F7F7F" w:themeColor="text1" w:themeTint="80"/>
      <w:sz w:val="22"/>
      <w:szCs w:val="20"/>
    </w:rPr>
  </w:style>
  <w:style w:type="paragraph" w:styleId="Heading9">
    <w:name w:val="heading 9"/>
    <w:basedOn w:val="Normal"/>
    <w:next w:val="Normal"/>
    <w:link w:val="Heading9Char"/>
    <w:uiPriority w:val="9"/>
    <w:unhideWhenUsed/>
    <w:qFormat/>
    <w:rsid w:val="002156DA"/>
    <w:pPr>
      <w:keepNext/>
      <w:keepLines/>
      <w:numPr>
        <w:ilvl w:val="8"/>
        <w:numId w:val="2"/>
      </w:numPr>
      <w:spacing w:before="200"/>
      <w:outlineLvl w:val="8"/>
    </w:pPr>
    <w:rPr>
      <w:rFonts w:asciiTheme="majorHAnsi" w:eastAsiaTheme="majorEastAsia" w:hAnsiTheme="majorHAnsi" w:cstheme="majorBidi"/>
      <w:b/>
      <w:iCs/>
      <w:color w:val="7F7F7F" w:themeColor="text1" w:themeTint="8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rsid w:val="002156DA"/>
    <w:rPr>
      <w:rFonts w:ascii="Calibri" w:eastAsia="MS PGothic" w:hAnsi="Calibri" w:cs="Times New Roman"/>
      <w:caps/>
      <w:color w:val="4472C4" w:themeColor="accent1"/>
      <w:sz w:val="40"/>
      <w:szCs w:val="48"/>
      <w:lang w:val="en-GB"/>
    </w:rPr>
  </w:style>
  <w:style w:type="character" w:customStyle="1" w:styleId="Heading3Char">
    <w:name w:val="Heading 3 Char"/>
    <w:basedOn w:val="DefaultParagraphFont"/>
    <w:link w:val="Heading3"/>
    <w:uiPriority w:val="9"/>
    <w:rsid w:val="002156DA"/>
    <w:rPr>
      <w:rFonts w:ascii="Calibri" w:eastAsia="MS PGothic" w:hAnsi="Calibri" w:cs="Times New Roman"/>
      <w:b/>
      <w:bCs/>
      <w:caps/>
      <w:color w:val="000000"/>
      <w:sz w:val="22"/>
      <w:lang w:val="en-GB"/>
    </w:rPr>
  </w:style>
  <w:style w:type="character" w:customStyle="1" w:styleId="Heading4Char">
    <w:name w:val="Heading 4 Char"/>
    <w:basedOn w:val="DefaultParagraphFont"/>
    <w:link w:val="Heading4"/>
    <w:uiPriority w:val="9"/>
    <w:rsid w:val="002156DA"/>
    <w:rPr>
      <w:rFonts w:ascii="Calibri" w:eastAsia="MS PGothic" w:hAnsi="Calibri" w:cs="Times New Roman"/>
      <w:bCs/>
      <w:iCs/>
      <w:color w:val="775089"/>
      <w:sz w:val="22"/>
      <w:lang w:val="en-GB"/>
    </w:rPr>
  </w:style>
  <w:style w:type="character" w:customStyle="1" w:styleId="Heading5Char">
    <w:name w:val="Heading 5 Char"/>
    <w:basedOn w:val="DefaultParagraphFont"/>
    <w:link w:val="Heading5"/>
    <w:uiPriority w:val="9"/>
    <w:rsid w:val="002156DA"/>
    <w:rPr>
      <w:rFonts w:ascii="Calibri" w:eastAsia="MS PGothic" w:hAnsi="Calibri" w:cs="Times New Roman"/>
      <w:b/>
      <w:color w:val="7F7F7F" w:themeColor="text1" w:themeTint="80"/>
      <w:sz w:val="22"/>
      <w:lang w:val="en-GB"/>
    </w:rPr>
  </w:style>
  <w:style w:type="character" w:customStyle="1" w:styleId="Heading6Char">
    <w:name w:val="Heading 6 Char"/>
    <w:basedOn w:val="DefaultParagraphFont"/>
    <w:link w:val="Heading6"/>
    <w:uiPriority w:val="9"/>
    <w:rsid w:val="002156DA"/>
    <w:rPr>
      <w:rFonts w:asciiTheme="majorHAnsi" w:eastAsiaTheme="majorEastAsia" w:hAnsiTheme="majorHAnsi" w:cstheme="majorBidi"/>
      <w:b/>
      <w:iCs/>
      <w:color w:val="7F7F7F" w:themeColor="text1" w:themeTint="80"/>
      <w:sz w:val="22"/>
      <w:lang w:val="en-GB"/>
    </w:rPr>
  </w:style>
  <w:style w:type="character" w:customStyle="1" w:styleId="Heading7Char">
    <w:name w:val="Heading 7 Char"/>
    <w:basedOn w:val="DefaultParagraphFont"/>
    <w:link w:val="Heading7"/>
    <w:uiPriority w:val="9"/>
    <w:rsid w:val="002156DA"/>
    <w:rPr>
      <w:rFonts w:asciiTheme="majorHAnsi" w:eastAsiaTheme="majorEastAsia" w:hAnsiTheme="majorHAnsi" w:cstheme="majorBidi"/>
      <w:b/>
      <w:iCs/>
      <w:color w:val="7F7F7F" w:themeColor="text1" w:themeTint="80"/>
      <w:sz w:val="22"/>
      <w:lang w:val="en-GB"/>
    </w:rPr>
  </w:style>
  <w:style w:type="character" w:customStyle="1" w:styleId="Heading8Char">
    <w:name w:val="Heading 8 Char"/>
    <w:basedOn w:val="DefaultParagraphFont"/>
    <w:link w:val="Heading8"/>
    <w:uiPriority w:val="9"/>
    <w:rsid w:val="002156DA"/>
    <w:rPr>
      <w:rFonts w:asciiTheme="majorHAnsi" w:eastAsiaTheme="majorEastAsia" w:hAnsiTheme="majorHAnsi" w:cstheme="majorBidi"/>
      <w:b/>
      <w:color w:val="7F7F7F" w:themeColor="text1" w:themeTint="80"/>
      <w:sz w:val="22"/>
      <w:szCs w:val="20"/>
      <w:lang w:val="en-GB"/>
    </w:rPr>
  </w:style>
  <w:style w:type="character" w:customStyle="1" w:styleId="Heading9Char">
    <w:name w:val="Heading 9 Char"/>
    <w:basedOn w:val="DefaultParagraphFont"/>
    <w:link w:val="Heading9"/>
    <w:uiPriority w:val="9"/>
    <w:rsid w:val="002156DA"/>
    <w:rPr>
      <w:rFonts w:asciiTheme="majorHAnsi" w:eastAsiaTheme="majorEastAsia" w:hAnsiTheme="majorHAnsi" w:cstheme="majorBidi"/>
      <w:b/>
      <w:iCs/>
      <w:color w:val="7F7F7F" w:themeColor="text1" w:themeTint="80"/>
      <w:sz w:val="20"/>
      <w:szCs w:val="20"/>
      <w:lang w:val="en-GB"/>
    </w:rPr>
  </w:style>
  <w:style w:type="paragraph" w:styleId="Header">
    <w:name w:val="header"/>
    <w:basedOn w:val="Normal"/>
    <w:link w:val="HeaderChar"/>
    <w:uiPriority w:val="99"/>
    <w:unhideWhenUsed/>
    <w:rsid w:val="002156DA"/>
    <w:pPr>
      <w:tabs>
        <w:tab w:val="center" w:pos="4513"/>
        <w:tab w:val="right" w:pos="9026"/>
      </w:tabs>
    </w:pPr>
  </w:style>
  <w:style w:type="character" w:customStyle="1" w:styleId="HeaderChar">
    <w:name w:val="Header Char"/>
    <w:basedOn w:val="DefaultParagraphFont"/>
    <w:link w:val="Header"/>
    <w:uiPriority w:val="99"/>
    <w:rsid w:val="002156DA"/>
  </w:style>
  <w:style w:type="paragraph" w:styleId="Footer">
    <w:name w:val="footer"/>
    <w:basedOn w:val="Normal"/>
    <w:link w:val="FooterChar"/>
    <w:uiPriority w:val="99"/>
    <w:unhideWhenUsed/>
    <w:rsid w:val="002156DA"/>
    <w:pPr>
      <w:tabs>
        <w:tab w:val="center" w:pos="4513"/>
        <w:tab w:val="right" w:pos="9026"/>
      </w:tabs>
    </w:pPr>
  </w:style>
  <w:style w:type="character" w:customStyle="1" w:styleId="FooterChar">
    <w:name w:val="Footer Char"/>
    <w:basedOn w:val="DefaultParagraphFont"/>
    <w:link w:val="Footer"/>
    <w:uiPriority w:val="99"/>
    <w:rsid w:val="002156DA"/>
  </w:style>
  <w:style w:type="paragraph" w:styleId="NormalWeb">
    <w:name w:val="Normal (Web)"/>
    <w:basedOn w:val="Normal"/>
    <w:uiPriority w:val="99"/>
    <w:unhideWhenUsed/>
    <w:rsid w:val="002156DA"/>
    <w:pPr>
      <w:spacing w:before="100" w:beforeAutospacing="1" w:after="100" w:afterAutospacing="1"/>
    </w:pPr>
    <w:rPr>
      <w:rFonts w:ascii="Times New Roman" w:eastAsia="Times New Roman" w:hAnsi="Times New Roman" w:cs="Times New Roman"/>
    </w:rPr>
  </w:style>
  <w:style w:type="character" w:customStyle="1" w:styleId="Heading2Char">
    <w:name w:val="Heading 2 Char"/>
    <w:basedOn w:val="DefaultParagraphFont"/>
    <w:link w:val="Heading2"/>
    <w:uiPriority w:val="9"/>
    <w:rsid w:val="003B7CEE"/>
    <w:rPr>
      <w:rFonts w:asciiTheme="majorHAnsi" w:eastAsiaTheme="majorEastAsia" w:hAnsiTheme="majorHAnsi" w:cstheme="majorBidi"/>
      <w:b/>
      <w:bCs/>
      <w:color w:val="775089"/>
      <w:sz w:val="26"/>
      <w:szCs w:val="26"/>
      <w:lang w:val="en-GB"/>
    </w:rPr>
  </w:style>
  <w:style w:type="paragraph" w:styleId="ListParagraph">
    <w:name w:val="List Paragraph"/>
    <w:basedOn w:val="Normal"/>
    <w:uiPriority w:val="34"/>
    <w:qFormat/>
    <w:rsid w:val="00F82D22"/>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sid w:val="004D68B2"/>
    <w:rPr>
      <w:sz w:val="16"/>
      <w:szCs w:val="16"/>
    </w:rPr>
  </w:style>
  <w:style w:type="paragraph" w:styleId="CommentText">
    <w:name w:val="annotation text"/>
    <w:basedOn w:val="Normal"/>
    <w:link w:val="CommentTextChar"/>
    <w:uiPriority w:val="99"/>
    <w:unhideWhenUsed/>
    <w:rsid w:val="004D68B2"/>
    <w:rPr>
      <w:sz w:val="20"/>
      <w:szCs w:val="20"/>
    </w:rPr>
  </w:style>
  <w:style w:type="character" w:customStyle="1" w:styleId="CommentTextChar">
    <w:name w:val="Comment Text Char"/>
    <w:basedOn w:val="DefaultParagraphFont"/>
    <w:link w:val="CommentText"/>
    <w:uiPriority w:val="99"/>
    <w:rsid w:val="004D68B2"/>
    <w:rPr>
      <w:sz w:val="20"/>
      <w:szCs w:val="20"/>
    </w:rPr>
  </w:style>
  <w:style w:type="paragraph" w:styleId="CommentSubject">
    <w:name w:val="annotation subject"/>
    <w:basedOn w:val="CommentText"/>
    <w:next w:val="CommentText"/>
    <w:link w:val="CommentSubjectChar"/>
    <w:uiPriority w:val="99"/>
    <w:semiHidden/>
    <w:unhideWhenUsed/>
    <w:rsid w:val="004D68B2"/>
    <w:rPr>
      <w:b/>
      <w:bCs/>
    </w:rPr>
  </w:style>
  <w:style w:type="character" w:customStyle="1" w:styleId="CommentSubjectChar">
    <w:name w:val="Comment Subject Char"/>
    <w:basedOn w:val="CommentTextChar"/>
    <w:link w:val="CommentSubject"/>
    <w:uiPriority w:val="99"/>
    <w:semiHidden/>
    <w:rsid w:val="004D68B2"/>
    <w:rPr>
      <w:b/>
      <w:bCs/>
      <w:sz w:val="20"/>
      <w:szCs w:val="20"/>
    </w:rPr>
  </w:style>
  <w:style w:type="character" w:customStyle="1" w:styleId="jsgrdq">
    <w:name w:val="jsgrdq"/>
    <w:basedOn w:val="DefaultParagraphFont"/>
    <w:rsid w:val="00DB0EC9"/>
  </w:style>
  <w:style w:type="paragraph" w:customStyle="1" w:styleId="Link">
    <w:name w:val="Link"/>
    <w:basedOn w:val="Normal"/>
    <w:link w:val="LinkChar"/>
    <w:qFormat/>
    <w:rsid w:val="00DB0EC9"/>
    <w:pPr>
      <w:jc w:val="both"/>
    </w:pPr>
    <w:rPr>
      <w:b/>
      <w:bCs/>
      <w:color w:val="3A4D45"/>
      <w:sz w:val="20"/>
      <w:szCs w:val="20"/>
      <w:u w:val="single"/>
    </w:rPr>
  </w:style>
  <w:style w:type="character" w:customStyle="1" w:styleId="LinkChar">
    <w:name w:val="Link Char"/>
    <w:basedOn w:val="DefaultParagraphFont"/>
    <w:link w:val="Link"/>
    <w:rsid w:val="00DB0EC9"/>
    <w:rPr>
      <w:b/>
      <w:bCs/>
      <w:color w:val="3A4D45"/>
      <w:sz w:val="20"/>
      <w:szCs w:val="20"/>
      <w:u w:val="single"/>
    </w:rPr>
  </w:style>
  <w:style w:type="character" w:styleId="Hyperlink">
    <w:name w:val="Hyperlink"/>
    <w:basedOn w:val="DefaultParagraphFont"/>
    <w:uiPriority w:val="99"/>
    <w:unhideWhenUsed/>
    <w:rsid w:val="00DB0EC9"/>
    <w:rPr>
      <w:color w:val="0563C1" w:themeColor="hyperlink"/>
      <w:u w:val="single"/>
    </w:rPr>
  </w:style>
  <w:style w:type="character" w:styleId="UnresolvedMention">
    <w:name w:val="Unresolved Mention"/>
    <w:basedOn w:val="DefaultParagraphFont"/>
    <w:uiPriority w:val="99"/>
    <w:semiHidden/>
    <w:unhideWhenUsed/>
    <w:rsid w:val="00DB0EC9"/>
    <w:rPr>
      <w:color w:val="605E5C"/>
      <w:shd w:val="clear" w:color="auto" w:fill="E1DFDD"/>
    </w:rPr>
  </w:style>
  <w:style w:type="character" w:styleId="FollowedHyperlink">
    <w:name w:val="FollowedHyperlink"/>
    <w:basedOn w:val="DefaultParagraphFont"/>
    <w:uiPriority w:val="99"/>
    <w:semiHidden/>
    <w:unhideWhenUsed/>
    <w:rsid w:val="00A96F3B"/>
    <w:rPr>
      <w:color w:val="954F72" w:themeColor="followedHyperlink"/>
      <w:u w:val="single"/>
    </w:rPr>
  </w:style>
  <w:style w:type="table" w:styleId="PlainTable1">
    <w:name w:val="Plain Table 1"/>
    <w:basedOn w:val="TableNormal"/>
    <w:uiPriority w:val="41"/>
    <w:rsid w:val="007A268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9713266">
      <w:bodyDiv w:val="1"/>
      <w:marLeft w:val="0"/>
      <w:marRight w:val="0"/>
      <w:marTop w:val="0"/>
      <w:marBottom w:val="0"/>
      <w:divBdr>
        <w:top w:val="none" w:sz="0" w:space="0" w:color="auto"/>
        <w:left w:val="none" w:sz="0" w:space="0" w:color="auto"/>
        <w:bottom w:val="none" w:sz="0" w:space="0" w:color="auto"/>
        <w:right w:val="none" w:sz="0" w:space="0" w:color="auto"/>
      </w:divBdr>
    </w:div>
    <w:div w:id="20631408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trac.org/ba-pcs-toolkit" TargetMode="External"/><Relationship Id="rId13" Type="http://schemas.openxmlformats.org/officeDocument/2006/relationships/hyperlink" Target="https://www.intrac.org/projects/strengthening-small-organisations-with-big-ambitions/" TargetMode="External"/><Relationship Id="rId18" Type="http://schemas.openxmlformats.org/officeDocument/2006/relationships/hyperlink" Target="http://www.youtube.com/watch?v=ObmQyW3EiiE"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intrac.org/ba-toolkits" TargetMode="External"/><Relationship Id="rId17" Type="http://schemas.openxmlformats.org/officeDocument/2006/relationships/hyperlink" Target="http://www.odi.org.uk/sites/odi.org.uk/files/odi-assets/publications-opinion-files/6427.pdf" TargetMode="External"/><Relationship Id="rId2" Type="http://schemas.openxmlformats.org/officeDocument/2006/relationships/numbering" Target="numbering.xml"/><Relationship Id="rId16" Type="http://schemas.openxmlformats.org/officeDocument/2006/relationships/hyperlink" Target="https://www.intrac.org/resources/action-learning-sets-guide-small-diaspora-ngos/action-learning-sets-an-intrac-guide-2/"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ntrac.org/ba-pcs-toolkit" TargetMode="External"/><Relationship Id="rId5" Type="http://schemas.openxmlformats.org/officeDocument/2006/relationships/webSettings" Target="webSettings.xml"/><Relationship Id="rId15" Type="http://schemas.openxmlformats.org/officeDocument/2006/relationships/hyperlink" Target="http://www.odi.org.uk/publications/5230-action-learning-set-process" TargetMode="External"/><Relationship Id="rId23" Type="http://schemas.openxmlformats.org/officeDocument/2006/relationships/theme" Target="theme/theme1.xml"/><Relationship Id="rId10" Type="http://schemas.openxmlformats.org/officeDocument/2006/relationships/hyperlink" Target="https://www.intrac.org/projects/strengthening-small-organisations-with-big-ambitions/"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intrac.org/ba-toolkits" TargetMode="External"/><Relationship Id="rId14" Type="http://schemas.openxmlformats.org/officeDocument/2006/relationships/image" Target="media/image1.png"/><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creativecommons.org/licenses/by-nc-sa/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DEqKoUJ8P83dkUPuZpPb/Sr1S0w==">AMUW2mVdhotACuTIYmD+6CYJ05IctFkWEMoKDV1HIUQU2kBbNDXmfde+vk1xuVCbf7NrV6aykD2k2G0IvrDY4tPYXV8epWbgkDKHlJ65QwMtVXHuiG56Y00=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974</Words>
  <Characters>5552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Annalisa Addis</dc:creator>
  <cp:lastModifiedBy>Annalisa Addis</cp:lastModifiedBy>
  <cp:revision>5</cp:revision>
  <dcterms:created xsi:type="dcterms:W3CDTF">2022-06-18T15:04:00Z</dcterms:created>
  <dcterms:modified xsi:type="dcterms:W3CDTF">2022-06-18T15:10:00Z</dcterms:modified>
</cp:coreProperties>
</file>